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7734" w14:textId="383ED431" w:rsidR="00B47048" w:rsidRPr="00B47048" w:rsidRDefault="00B47048" w:rsidP="00B47048">
      <w:pPr>
        <w:autoSpaceDE w:val="0"/>
        <w:autoSpaceDN w:val="0"/>
        <w:bidi w:val="0"/>
        <w:adjustRightInd w:val="0"/>
        <w:spacing w:after="0" w:line="240" w:lineRule="auto"/>
        <w:jc w:val="center"/>
        <w:rPr>
          <w:rFonts w:ascii="Times New Roman" w:hAnsi="Times New Roman" w:cs="Times New Roman"/>
          <w:kern w:val="0"/>
          <w:sz w:val="24"/>
          <w:szCs w:val="24"/>
        </w:rPr>
      </w:pPr>
      <w:r w:rsidRPr="00B47048">
        <w:rPr>
          <w:rFonts w:ascii="Times New Roman" w:hAnsi="Times New Roman" w:cs="Times New Roman"/>
          <w:kern w:val="0"/>
          <w:sz w:val="24"/>
          <w:szCs w:val="24"/>
        </w:rPr>
        <w:t>University of Colorado, Colorado Springs</w:t>
      </w:r>
    </w:p>
    <w:p w14:paraId="22529C92" w14:textId="6A8988FE" w:rsidR="003661E7" w:rsidRPr="00B47048" w:rsidRDefault="00B47048" w:rsidP="00B47048">
      <w:pPr>
        <w:autoSpaceDE w:val="0"/>
        <w:autoSpaceDN w:val="0"/>
        <w:bidi w:val="0"/>
        <w:adjustRightInd w:val="0"/>
        <w:spacing w:after="0" w:line="240" w:lineRule="auto"/>
        <w:jc w:val="center"/>
        <w:rPr>
          <w:rFonts w:ascii="Times New Roman" w:hAnsi="Times New Roman" w:cs="Times New Roman"/>
          <w:kern w:val="0"/>
          <w:sz w:val="24"/>
          <w:szCs w:val="24"/>
        </w:rPr>
      </w:pPr>
      <w:r w:rsidRPr="00B47048">
        <w:rPr>
          <w:rFonts w:ascii="Times New Roman" w:hAnsi="Times New Roman" w:cs="Times New Roman"/>
          <w:kern w:val="0"/>
          <w:sz w:val="24"/>
          <w:szCs w:val="24"/>
        </w:rPr>
        <w:t>Center for Cognitive Archaeology</w:t>
      </w:r>
    </w:p>
    <w:p w14:paraId="2788928A" w14:textId="77777777" w:rsidR="00B47048" w:rsidRPr="00B47048" w:rsidRDefault="00B47048" w:rsidP="00B47048">
      <w:pPr>
        <w:autoSpaceDE w:val="0"/>
        <w:autoSpaceDN w:val="0"/>
        <w:bidi w:val="0"/>
        <w:adjustRightInd w:val="0"/>
        <w:spacing w:after="0" w:line="240" w:lineRule="auto"/>
        <w:jc w:val="center"/>
        <w:rPr>
          <w:rFonts w:ascii="Times New Roman" w:hAnsi="Times New Roman" w:cs="Times New Roman"/>
          <w:kern w:val="0"/>
          <w:sz w:val="24"/>
          <w:szCs w:val="24"/>
        </w:rPr>
      </w:pPr>
    </w:p>
    <w:p w14:paraId="37CBA48B" w14:textId="77777777" w:rsidR="00B47048" w:rsidRPr="00B47048" w:rsidRDefault="00B47048" w:rsidP="00B47048">
      <w:pPr>
        <w:autoSpaceDE w:val="0"/>
        <w:autoSpaceDN w:val="0"/>
        <w:bidi w:val="0"/>
        <w:adjustRightInd w:val="0"/>
        <w:spacing w:after="0" w:line="240" w:lineRule="auto"/>
        <w:jc w:val="center"/>
        <w:rPr>
          <w:rFonts w:ascii="Times New Roman" w:hAnsi="Times New Roman" w:cs="Times New Roman"/>
          <w:b/>
          <w:bCs/>
          <w:kern w:val="0"/>
          <w:sz w:val="24"/>
          <w:szCs w:val="24"/>
          <w:rtl/>
        </w:rPr>
      </w:pPr>
    </w:p>
    <w:p w14:paraId="6FAC01D5" w14:textId="1E370C1F" w:rsidR="00441654" w:rsidRDefault="008B426A" w:rsidP="00B37902">
      <w:pPr>
        <w:autoSpaceDE w:val="0"/>
        <w:autoSpaceDN w:val="0"/>
        <w:bidi w:val="0"/>
        <w:adjustRightInd w:val="0"/>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w:t>
      </w:r>
      <w:r w:rsidRPr="008B426A">
        <w:rPr>
          <w:rFonts w:ascii="Times New Roman" w:hAnsi="Times New Roman" w:cs="Times New Roman"/>
          <w:b/>
          <w:bCs/>
          <w:kern w:val="0"/>
          <w:sz w:val="24"/>
          <w:szCs w:val="24"/>
        </w:rPr>
        <w:t xml:space="preserve">ocial </w:t>
      </w:r>
      <w:r w:rsidR="00AA1BC4">
        <w:rPr>
          <w:rFonts w:ascii="Times New Roman" w:hAnsi="Times New Roman" w:cs="Times New Roman"/>
          <w:b/>
          <w:bCs/>
          <w:kern w:val="0"/>
          <w:sz w:val="24"/>
          <w:szCs w:val="24"/>
        </w:rPr>
        <w:t>L</w:t>
      </w:r>
      <w:r w:rsidRPr="008B426A">
        <w:rPr>
          <w:rFonts w:ascii="Times New Roman" w:hAnsi="Times New Roman" w:cs="Times New Roman"/>
          <w:b/>
          <w:bCs/>
          <w:kern w:val="0"/>
          <w:sz w:val="24"/>
          <w:szCs w:val="24"/>
        </w:rPr>
        <w:t>earning</w:t>
      </w:r>
      <w:r w:rsidR="008E65EF">
        <w:rPr>
          <w:rFonts w:ascii="Times New Roman" w:hAnsi="Times New Roman" w:cs="Times New Roman"/>
          <w:b/>
          <w:bCs/>
          <w:kern w:val="0"/>
          <w:sz w:val="24"/>
          <w:szCs w:val="24"/>
        </w:rPr>
        <w:t xml:space="preserve"> and </w:t>
      </w:r>
      <w:r w:rsidR="00B307E6">
        <w:rPr>
          <w:rFonts w:ascii="Times New Roman" w:hAnsi="Times New Roman" w:cs="Times New Roman"/>
          <w:b/>
          <w:bCs/>
          <w:kern w:val="0"/>
          <w:sz w:val="24"/>
          <w:szCs w:val="24"/>
        </w:rPr>
        <w:t>C</w:t>
      </w:r>
      <w:r w:rsidR="008E65EF">
        <w:rPr>
          <w:rFonts w:ascii="Times New Roman" w:hAnsi="Times New Roman" w:cs="Times New Roman"/>
          <w:b/>
          <w:bCs/>
          <w:kern w:val="0"/>
          <w:sz w:val="24"/>
          <w:szCs w:val="24"/>
        </w:rPr>
        <w:t>ognition</w:t>
      </w:r>
      <w:r w:rsidRPr="008B426A">
        <w:rPr>
          <w:rFonts w:ascii="Times New Roman" w:hAnsi="Times New Roman" w:cs="Times New Roman"/>
          <w:b/>
          <w:bCs/>
          <w:kern w:val="0"/>
          <w:sz w:val="24"/>
          <w:szCs w:val="24"/>
        </w:rPr>
        <w:t xml:space="preserve"> throughout </w:t>
      </w:r>
      <w:r w:rsidR="00AA1BC4">
        <w:rPr>
          <w:rFonts w:ascii="Times New Roman" w:hAnsi="Times New Roman" w:cs="Times New Roman"/>
          <w:b/>
          <w:bCs/>
          <w:kern w:val="0"/>
          <w:sz w:val="24"/>
          <w:szCs w:val="24"/>
        </w:rPr>
        <w:t>H</w:t>
      </w:r>
      <w:r w:rsidRPr="008B426A">
        <w:rPr>
          <w:rFonts w:ascii="Times New Roman" w:hAnsi="Times New Roman" w:cs="Times New Roman"/>
          <w:b/>
          <w:bCs/>
          <w:kern w:val="0"/>
          <w:sz w:val="24"/>
          <w:szCs w:val="24"/>
        </w:rPr>
        <w:t xml:space="preserve">uman </w:t>
      </w:r>
      <w:r w:rsidR="00AA1BC4">
        <w:rPr>
          <w:rFonts w:ascii="Times New Roman" w:hAnsi="Times New Roman" w:cs="Times New Roman"/>
          <w:b/>
          <w:bCs/>
          <w:kern w:val="0"/>
          <w:sz w:val="24"/>
          <w:szCs w:val="24"/>
        </w:rPr>
        <w:t>E</w:t>
      </w:r>
      <w:r w:rsidRPr="008B426A">
        <w:rPr>
          <w:rFonts w:ascii="Times New Roman" w:hAnsi="Times New Roman" w:cs="Times New Roman"/>
          <w:b/>
          <w:bCs/>
          <w:kern w:val="0"/>
          <w:sz w:val="24"/>
          <w:szCs w:val="24"/>
        </w:rPr>
        <w:t>volution</w:t>
      </w:r>
    </w:p>
    <w:p w14:paraId="7E08B6BD" w14:textId="77777777" w:rsidR="00254B45" w:rsidRDefault="00254B45" w:rsidP="00254B45">
      <w:pPr>
        <w:autoSpaceDE w:val="0"/>
        <w:autoSpaceDN w:val="0"/>
        <w:bidi w:val="0"/>
        <w:adjustRightInd w:val="0"/>
        <w:spacing w:after="0" w:line="240" w:lineRule="auto"/>
        <w:jc w:val="center"/>
        <w:rPr>
          <w:rFonts w:ascii="Times New Roman" w:hAnsi="Times New Roman" w:cs="Times New Roman"/>
          <w:b/>
          <w:bCs/>
          <w:kern w:val="0"/>
          <w:sz w:val="24"/>
          <w:szCs w:val="24"/>
        </w:rPr>
      </w:pPr>
    </w:p>
    <w:p w14:paraId="1F95F057" w14:textId="77777777" w:rsidR="00C15664" w:rsidRDefault="00C15664" w:rsidP="00C15664">
      <w:pPr>
        <w:autoSpaceDE w:val="0"/>
        <w:autoSpaceDN w:val="0"/>
        <w:bidi w:val="0"/>
        <w:adjustRightInd w:val="0"/>
        <w:spacing w:after="0" w:line="240" w:lineRule="auto"/>
        <w:jc w:val="center"/>
        <w:rPr>
          <w:rFonts w:ascii="Times New Roman" w:hAnsi="Times New Roman" w:cs="Times New Roman"/>
          <w:b/>
          <w:bCs/>
          <w:kern w:val="0"/>
          <w:sz w:val="24"/>
          <w:szCs w:val="24"/>
        </w:rPr>
      </w:pPr>
    </w:p>
    <w:p w14:paraId="26BB0687" w14:textId="06B186DB" w:rsidR="00A53AE0" w:rsidRDefault="00254B45" w:rsidP="00254B45">
      <w:pPr>
        <w:autoSpaceDE w:val="0"/>
        <w:autoSpaceDN w:val="0"/>
        <w:bidi w:val="0"/>
        <w:adjustRightInd w:val="0"/>
        <w:spacing w:after="0" w:line="240" w:lineRule="auto"/>
        <w:rPr>
          <w:rFonts w:ascii="Times New Roman" w:hAnsi="Times New Roman" w:cs="Times New Roman"/>
          <w:kern w:val="0"/>
          <w:sz w:val="24"/>
          <w:szCs w:val="24"/>
        </w:rPr>
      </w:pPr>
      <w:r w:rsidRPr="00254B45">
        <w:rPr>
          <w:rFonts w:ascii="Times New Roman" w:hAnsi="Times New Roman" w:cs="Times New Roman"/>
          <w:kern w:val="0"/>
          <w:sz w:val="24"/>
          <w:szCs w:val="24"/>
        </w:rPr>
        <w:t>Instructor:</w:t>
      </w:r>
      <w:r>
        <w:rPr>
          <w:rFonts w:ascii="Times New Roman" w:hAnsi="Times New Roman" w:cs="Times New Roman"/>
          <w:kern w:val="0"/>
          <w:sz w:val="24"/>
          <w:szCs w:val="24"/>
        </w:rPr>
        <w:t xml:space="preserve"> Dr. </w:t>
      </w:r>
      <w:r w:rsidR="00C15664" w:rsidRPr="00C15664">
        <w:rPr>
          <w:rFonts w:ascii="Times New Roman" w:hAnsi="Times New Roman" w:cs="Times New Roman" w:hint="cs"/>
          <w:kern w:val="0"/>
          <w:sz w:val="24"/>
          <w:szCs w:val="24"/>
        </w:rPr>
        <w:t>Tamar Rosenberg-Yefet</w:t>
      </w:r>
    </w:p>
    <w:p w14:paraId="0840EAF6" w14:textId="142E3544" w:rsidR="00254B45" w:rsidRPr="00C15664" w:rsidRDefault="00254B45" w:rsidP="00254B45">
      <w:pPr>
        <w:autoSpaceDE w:val="0"/>
        <w:autoSpaceDN w:val="0"/>
        <w:bidi w:val="0"/>
        <w:adjustRightInd w:val="0"/>
        <w:spacing w:after="0" w:line="240" w:lineRule="auto"/>
        <w:rPr>
          <w:rFonts w:ascii="Times New Roman" w:hAnsi="Times New Roman" w:cs="Times New Roman"/>
          <w:kern w:val="0"/>
          <w:sz w:val="24"/>
          <w:szCs w:val="24"/>
          <w:rtl/>
        </w:rPr>
      </w:pPr>
      <w:r>
        <w:rPr>
          <w:rFonts w:ascii="Times New Roman" w:hAnsi="Times New Roman" w:cs="Times New Roman"/>
          <w:kern w:val="0"/>
          <w:sz w:val="24"/>
          <w:szCs w:val="24"/>
        </w:rPr>
        <w:t xml:space="preserve">Email: </w:t>
      </w:r>
      <w:hyperlink r:id="rId5" w:history="1">
        <w:r w:rsidR="00827966" w:rsidRPr="00CC6909">
          <w:rPr>
            <w:rStyle w:val="Hyperlink"/>
            <w:rFonts w:ascii="Times New Roman" w:hAnsi="Times New Roman" w:cs="Times New Roman"/>
            <w:kern w:val="0"/>
            <w:sz w:val="24"/>
            <w:szCs w:val="24"/>
          </w:rPr>
          <w:t>trosenb3@uccs.edu</w:t>
        </w:r>
      </w:hyperlink>
      <w:r w:rsidR="00827966">
        <w:rPr>
          <w:rFonts w:ascii="Times New Roman" w:hAnsi="Times New Roman" w:cs="Times New Roman"/>
          <w:kern w:val="0"/>
          <w:sz w:val="24"/>
          <w:szCs w:val="24"/>
        </w:rPr>
        <w:t xml:space="preserve"> </w:t>
      </w:r>
    </w:p>
    <w:p w14:paraId="5C0DA3A5" w14:textId="77777777" w:rsidR="00AC4F25" w:rsidRDefault="00AC4F25" w:rsidP="00906A2E">
      <w:pPr>
        <w:autoSpaceDE w:val="0"/>
        <w:autoSpaceDN w:val="0"/>
        <w:bidi w:val="0"/>
        <w:adjustRightInd w:val="0"/>
        <w:spacing w:after="0" w:line="240" w:lineRule="auto"/>
        <w:rPr>
          <w:rFonts w:ascii="Times New Roman" w:hAnsi="Times New Roman" w:cs="Times New Roman"/>
          <w:b/>
          <w:bCs/>
          <w:kern w:val="0"/>
          <w:sz w:val="24"/>
          <w:szCs w:val="24"/>
        </w:rPr>
      </w:pPr>
    </w:p>
    <w:p w14:paraId="0F55922E" w14:textId="729F15A1" w:rsidR="0091745B" w:rsidRDefault="003661E7" w:rsidP="00AC4F25">
      <w:pPr>
        <w:autoSpaceDE w:val="0"/>
        <w:autoSpaceDN w:val="0"/>
        <w:bidi w:val="0"/>
        <w:adjustRightInd w:val="0"/>
        <w:spacing w:after="0" w:line="240" w:lineRule="auto"/>
        <w:rPr>
          <w:rFonts w:ascii="Times New Roman" w:hAnsi="Times New Roman" w:cs="Times New Roman"/>
          <w:b/>
          <w:bCs/>
          <w:kern w:val="0"/>
          <w:sz w:val="24"/>
          <w:szCs w:val="24"/>
        </w:rPr>
      </w:pPr>
      <w:r w:rsidRPr="003661E7">
        <w:rPr>
          <w:rFonts w:ascii="Times New Roman" w:hAnsi="Times New Roman" w:cs="Times New Roman"/>
          <w:b/>
          <w:bCs/>
          <w:kern w:val="0"/>
          <w:sz w:val="24"/>
          <w:szCs w:val="24"/>
        </w:rPr>
        <w:t>O</w:t>
      </w:r>
      <w:r w:rsidR="00906A2E">
        <w:rPr>
          <w:rFonts w:ascii="Times New Roman" w:hAnsi="Times New Roman" w:cs="Times New Roman"/>
          <w:b/>
          <w:bCs/>
          <w:kern w:val="0"/>
          <w:sz w:val="24"/>
          <w:szCs w:val="24"/>
        </w:rPr>
        <w:t xml:space="preserve">verview </w:t>
      </w:r>
    </w:p>
    <w:p w14:paraId="68531769" w14:textId="77777777" w:rsidR="00906A2E" w:rsidRPr="00324526" w:rsidRDefault="00906A2E" w:rsidP="00906A2E">
      <w:pPr>
        <w:autoSpaceDE w:val="0"/>
        <w:autoSpaceDN w:val="0"/>
        <w:bidi w:val="0"/>
        <w:adjustRightInd w:val="0"/>
        <w:spacing w:after="0" w:line="240" w:lineRule="auto"/>
        <w:rPr>
          <w:rFonts w:ascii="Times New Roman" w:hAnsi="Times New Roman" w:cs="Times New Roman"/>
          <w:b/>
          <w:bCs/>
          <w:kern w:val="0"/>
          <w:sz w:val="24"/>
          <w:szCs w:val="24"/>
        </w:rPr>
      </w:pPr>
    </w:p>
    <w:p w14:paraId="78A4A8EB" w14:textId="0C315BDD" w:rsidR="00D36FFA" w:rsidRDefault="00D36FFA" w:rsidP="0091745B">
      <w:pPr>
        <w:autoSpaceDE w:val="0"/>
        <w:autoSpaceDN w:val="0"/>
        <w:bidi w:val="0"/>
        <w:adjustRightInd w:val="0"/>
        <w:spacing w:after="0" w:line="240" w:lineRule="auto"/>
        <w:rPr>
          <w:rFonts w:ascii="Segoe UI" w:hAnsi="Segoe UI" w:cs="Segoe UI"/>
          <w:color w:val="374151"/>
          <w:shd w:val="clear" w:color="auto" w:fill="F7F7F8"/>
        </w:rPr>
      </w:pPr>
      <w:r w:rsidRPr="00D36FFA">
        <w:rPr>
          <w:rFonts w:ascii="Times New Roman" w:hAnsi="Times New Roman" w:cs="Times New Roman"/>
          <w:kern w:val="0"/>
          <w:sz w:val="24"/>
          <w:szCs w:val="24"/>
        </w:rPr>
        <w:t xml:space="preserve">The introduction of social learning into the human learning system was a significant and revolutionary step in human evolution. </w:t>
      </w:r>
      <w:r w:rsidR="00973B6C">
        <w:rPr>
          <w:rFonts w:ascii="Times New Roman" w:hAnsi="Times New Roman" w:cs="Times New Roman"/>
          <w:kern w:val="0"/>
          <w:sz w:val="24"/>
          <w:szCs w:val="24"/>
        </w:rPr>
        <w:t>Human's</w:t>
      </w:r>
      <w:r w:rsidRPr="00D36FFA">
        <w:rPr>
          <w:rFonts w:ascii="Times New Roman" w:hAnsi="Times New Roman" w:cs="Times New Roman"/>
          <w:kern w:val="0"/>
          <w:sz w:val="24"/>
          <w:szCs w:val="24"/>
        </w:rPr>
        <w:t xml:space="preserve"> ability to teach another </w:t>
      </w:r>
      <w:r w:rsidR="004402DA">
        <w:rPr>
          <w:rFonts w:ascii="Times New Roman" w:hAnsi="Times New Roman" w:cs="Times New Roman"/>
          <w:kern w:val="0"/>
          <w:sz w:val="24"/>
          <w:szCs w:val="24"/>
        </w:rPr>
        <w:t>individual</w:t>
      </w:r>
      <w:r w:rsidRPr="00D36FFA">
        <w:rPr>
          <w:rFonts w:ascii="Times New Roman" w:hAnsi="Times New Roman" w:cs="Times New Roman"/>
          <w:kern w:val="0"/>
          <w:sz w:val="24"/>
          <w:szCs w:val="24"/>
        </w:rPr>
        <w:t xml:space="preserve"> or a group</w:t>
      </w:r>
      <w:r w:rsidR="004402DA">
        <w:rPr>
          <w:rFonts w:ascii="Times New Roman" w:hAnsi="Times New Roman" w:cs="Times New Roman"/>
          <w:kern w:val="0"/>
          <w:sz w:val="24"/>
          <w:szCs w:val="24"/>
        </w:rPr>
        <w:t xml:space="preserve"> of people, </w:t>
      </w:r>
      <w:r w:rsidRPr="00D36FFA">
        <w:rPr>
          <w:rFonts w:ascii="Times New Roman" w:hAnsi="Times New Roman" w:cs="Times New Roman"/>
          <w:kern w:val="0"/>
          <w:sz w:val="24"/>
          <w:szCs w:val="24"/>
        </w:rPr>
        <w:t xml:space="preserve">allowed </w:t>
      </w:r>
      <w:r w:rsidR="00F94730">
        <w:rPr>
          <w:rFonts w:ascii="Times New Roman" w:hAnsi="Times New Roman" w:cs="Times New Roman"/>
          <w:kern w:val="0"/>
          <w:sz w:val="24"/>
          <w:szCs w:val="24"/>
        </w:rPr>
        <w:t xml:space="preserve">for </w:t>
      </w:r>
      <w:r w:rsidRPr="00D36FFA">
        <w:rPr>
          <w:rFonts w:ascii="Times New Roman" w:hAnsi="Times New Roman" w:cs="Times New Roman"/>
          <w:kern w:val="0"/>
          <w:sz w:val="24"/>
          <w:szCs w:val="24"/>
        </w:rPr>
        <w:t xml:space="preserve">the spread of technologies over </w:t>
      </w:r>
      <w:r w:rsidR="004402DA">
        <w:rPr>
          <w:rFonts w:ascii="Times New Roman" w:hAnsi="Times New Roman" w:cs="Times New Roman"/>
          <w:kern w:val="0"/>
          <w:sz w:val="24"/>
          <w:szCs w:val="24"/>
        </w:rPr>
        <w:t>a vast geographical range</w:t>
      </w:r>
      <w:r w:rsidRPr="00D36FFA">
        <w:rPr>
          <w:rFonts w:ascii="Times New Roman" w:hAnsi="Times New Roman" w:cs="Times New Roman"/>
          <w:kern w:val="0"/>
          <w:sz w:val="24"/>
          <w:szCs w:val="24"/>
        </w:rPr>
        <w:t xml:space="preserve">, </w:t>
      </w:r>
      <w:r w:rsidR="00F23341">
        <w:rPr>
          <w:rFonts w:ascii="Times New Roman" w:hAnsi="Times New Roman" w:cs="Times New Roman"/>
          <w:kern w:val="0"/>
          <w:sz w:val="24"/>
          <w:szCs w:val="24"/>
        </w:rPr>
        <w:t>eventually leading to the globalization we know from today's world</w:t>
      </w:r>
      <w:r w:rsidRPr="00D36FFA">
        <w:rPr>
          <w:rFonts w:ascii="Times New Roman" w:hAnsi="Times New Roman" w:cs="Times New Roman"/>
          <w:kern w:val="0"/>
          <w:sz w:val="24"/>
          <w:szCs w:val="24"/>
        </w:rPr>
        <w:t>.</w:t>
      </w:r>
      <w:r w:rsidR="004402DA" w:rsidRPr="004402DA">
        <w:rPr>
          <w:rFonts w:ascii="Segoe UI" w:hAnsi="Segoe UI" w:cs="Segoe UI"/>
          <w:color w:val="374151"/>
          <w:shd w:val="clear" w:color="auto" w:fill="F7F7F8"/>
        </w:rPr>
        <w:t xml:space="preserve"> </w:t>
      </w:r>
    </w:p>
    <w:p w14:paraId="217AAD17" w14:textId="77777777" w:rsidR="005D787D" w:rsidRDefault="005D787D" w:rsidP="005D787D">
      <w:pPr>
        <w:autoSpaceDE w:val="0"/>
        <w:autoSpaceDN w:val="0"/>
        <w:bidi w:val="0"/>
        <w:adjustRightInd w:val="0"/>
        <w:spacing w:after="0" w:line="240" w:lineRule="auto"/>
        <w:rPr>
          <w:rFonts w:ascii="Times New Roman" w:hAnsi="Times New Roman" w:cs="Times New Roman"/>
          <w:kern w:val="0"/>
          <w:sz w:val="24"/>
          <w:szCs w:val="24"/>
        </w:rPr>
      </w:pPr>
    </w:p>
    <w:p w14:paraId="149C54CB" w14:textId="16A606BD" w:rsidR="005D787D" w:rsidRPr="005D787D" w:rsidRDefault="005D787D" w:rsidP="002E3640">
      <w:pPr>
        <w:autoSpaceDE w:val="0"/>
        <w:autoSpaceDN w:val="0"/>
        <w:bidi w:val="0"/>
        <w:adjustRightInd w:val="0"/>
        <w:spacing w:after="0" w:line="240" w:lineRule="auto"/>
        <w:rPr>
          <w:rFonts w:ascii="Times New Roman" w:hAnsi="Times New Roman" w:cs="Times New Roman"/>
          <w:kern w:val="0"/>
          <w:sz w:val="24"/>
          <w:szCs w:val="24"/>
        </w:rPr>
      </w:pPr>
      <w:r w:rsidRPr="005D787D">
        <w:rPr>
          <w:rFonts w:ascii="Times New Roman" w:hAnsi="Times New Roman" w:cs="Times New Roman"/>
          <w:kern w:val="0"/>
          <w:sz w:val="24"/>
          <w:szCs w:val="24"/>
        </w:rPr>
        <w:t xml:space="preserve">The purpose of this course is to explore diverse learning mechanisms that have emerged throughout human evolution. We will </w:t>
      </w:r>
      <w:r w:rsidR="002E3640" w:rsidRPr="005D787D">
        <w:rPr>
          <w:rFonts w:ascii="Times New Roman" w:hAnsi="Times New Roman" w:cs="Times New Roman"/>
          <w:kern w:val="0"/>
          <w:sz w:val="24"/>
          <w:szCs w:val="24"/>
        </w:rPr>
        <w:t>di</w:t>
      </w:r>
      <w:r w:rsidR="002E3640">
        <w:rPr>
          <w:rFonts w:ascii="Times New Roman" w:hAnsi="Times New Roman" w:cs="Times New Roman"/>
          <w:kern w:val="0"/>
          <w:sz w:val="24"/>
          <w:szCs w:val="24"/>
        </w:rPr>
        <w:t>v</w:t>
      </w:r>
      <w:r w:rsidR="002E3640" w:rsidRPr="005D787D">
        <w:rPr>
          <w:rFonts w:ascii="Times New Roman" w:hAnsi="Times New Roman" w:cs="Times New Roman"/>
          <w:kern w:val="0"/>
          <w:sz w:val="24"/>
          <w:szCs w:val="24"/>
        </w:rPr>
        <w:t>e</w:t>
      </w:r>
      <w:r w:rsidRPr="005D787D">
        <w:rPr>
          <w:rFonts w:ascii="Times New Roman" w:hAnsi="Times New Roman" w:cs="Times New Roman"/>
          <w:kern w:val="0"/>
          <w:sz w:val="24"/>
          <w:szCs w:val="24"/>
        </w:rPr>
        <w:t xml:space="preserve"> deeply into various forms of learning and examine the minimal cognitive abilities required for </w:t>
      </w:r>
      <w:r w:rsidR="002E3640">
        <w:rPr>
          <w:rFonts w:ascii="Times New Roman" w:hAnsi="Times New Roman" w:cs="Times New Roman"/>
          <w:kern w:val="0"/>
          <w:sz w:val="24"/>
          <w:szCs w:val="24"/>
        </w:rPr>
        <w:t>them</w:t>
      </w:r>
      <w:r w:rsidRPr="005D787D">
        <w:rPr>
          <w:rFonts w:ascii="Times New Roman" w:hAnsi="Times New Roman" w:cs="Times New Roman"/>
          <w:kern w:val="0"/>
          <w:sz w:val="24"/>
          <w:szCs w:val="24"/>
        </w:rPr>
        <w:t xml:space="preserve">. We will question whether learning is an innate human characteristic, explore the role of language in teaching, and investigate alternative modes of communication </w:t>
      </w:r>
      <w:r w:rsidR="006A4032" w:rsidRPr="005D787D">
        <w:rPr>
          <w:rFonts w:ascii="Times New Roman" w:hAnsi="Times New Roman" w:cs="Times New Roman"/>
          <w:kern w:val="0"/>
          <w:sz w:val="24"/>
          <w:szCs w:val="24"/>
        </w:rPr>
        <w:t>applied</w:t>
      </w:r>
      <w:r w:rsidRPr="005D787D">
        <w:rPr>
          <w:rFonts w:ascii="Times New Roman" w:hAnsi="Times New Roman" w:cs="Times New Roman"/>
          <w:kern w:val="0"/>
          <w:sz w:val="24"/>
          <w:szCs w:val="24"/>
        </w:rPr>
        <w:t xml:space="preserve"> in the learning process. Additionally, we will explore how learning takes place in </w:t>
      </w:r>
      <w:r w:rsidR="002E3640" w:rsidRPr="002E3640">
        <w:rPr>
          <w:rFonts w:ascii="Times New Roman" w:hAnsi="Times New Roman" w:cs="Times New Roman"/>
          <w:kern w:val="0"/>
          <w:sz w:val="24"/>
          <w:szCs w:val="24"/>
        </w:rPr>
        <w:t xml:space="preserve">contemporary </w:t>
      </w:r>
      <w:r w:rsidRPr="005D787D">
        <w:rPr>
          <w:rFonts w:ascii="Times New Roman" w:hAnsi="Times New Roman" w:cs="Times New Roman"/>
          <w:kern w:val="0"/>
          <w:sz w:val="24"/>
          <w:szCs w:val="24"/>
        </w:rPr>
        <w:t xml:space="preserve">hunter-gatherer societies </w:t>
      </w:r>
      <w:r w:rsidR="00517F20">
        <w:rPr>
          <w:rFonts w:ascii="Times New Roman" w:hAnsi="Times New Roman" w:cs="Times New Roman"/>
          <w:kern w:val="0"/>
          <w:sz w:val="24"/>
          <w:szCs w:val="24"/>
        </w:rPr>
        <w:t>around</w:t>
      </w:r>
      <w:r w:rsidRPr="005D787D">
        <w:rPr>
          <w:rFonts w:ascii="Times New Roman" w:hAnsi="Times New Roman" w:cs="Times New Roman"/>
          <w:kern w:val="0"/>
          <w:sz w:val="24"/>
          <w:szCs w:val="24"/>
        </w:rPr>
        <w:t xml:space="preserve"> the </w:t>
      </w:r>
      <w:r w:rsidR="002E3640">
        <w:rPr>
          <w:rFonts w:ascii="Times New Roman" w:hAnsi="Times New Roman" w:cs="Times New Roman"/>
          <w:kern w:val="0"/>
          <w:sz w:val="24"/>
          <w:szCs w:val="24"/>
        </w:rPr>
        <w:t>world</w:t>
      </w:r>
      <w:r w:rsidRPr="005D787D">
        <w:rPr>
          <w:rFonts w:ascii="Times New Roman" w:hAnsi="Times New Roman" w:cs="Times New Roman"/>
          <w:kern w:val="0"/>
          <w:sz w:val="24"/>
          <w:szCs w:val="24"/>
        </w:rPr>
        <w:t>.</w:t>
      </w:r>
    </w:p>
    <w:p w14:paraId="4DFD0DF0" w14:textId="71F0F17A" w:rsidR="00E42097" w:rsidRDefault="005D787D" w:rsidP="00E42097">
      <w:pPr>
        <w:autoSpaceDE w:val="0"/>
        <w:autoSpaceDN w:val="0"/>
        <w:bidi w:val="0"/>
        <w:adjustRightInd w:val="0"/>
        <w:spacing w:after="0" w:line="240" w:lineRule="auto"/>
        <w:rPr>
          <w:rFonts w:ascii="Times New Roman" w:hAnsi="Times New Roman" w:cs="Times New Roman"/>
          <w:kern w:val="0"/>
          <w:sz w:val="24"/>
          <w:szCs w:val="24"/>
        </w:rPr>
      </w:pPr>
      <w:r w:rsidRPr="005D787D">
        <w:rPr>
          <w:rFonts w:ascii="Times New Roman" w:hAnsi="Times New Roman" w:cs="Times New Roman"/>
          <w:kern w:val="0"/>
          <w:sz w:val="24"/>
          <w:szCs w:val="24"/>
        </w:rPr>
        <w:t xml:space="preserve">We will also address the challenge of limited visibility of </w:t>
      </w:r>
      <w:r w:rsidR="00046B7D">
        <w:rPr>
          <w:rFonts w:ascii="Times New Roman" w:hAnsi="Times New Roman" w:cs="Times New Roman"/>
          <w:kern w:val="0"/>
          <w:sz w:val="24"/>
          <w:szCs w:val="24"/>
        </w:rPr>
        <w:t xml:space="preserve">the </w:t>
      </w:r>
      <w:r w:rsidRPr="005D787D">
        <w:rPr>
          <w:rFonts w:ascii="Times New Roman" w:hAnsi="Times New Roman" w:cs="Times New Roman"/>
          <w:kern w:val="0"/>
          <w:sz w:val="24"/>
          <w:szCs w:val="24"/>
        </w:rPr>
        <w:t xml:space="preserve">learning processes in the archaeological record and explore ongoing research aimed at </w:t>
      </w:r>
      <w:r w:rsidR="00E42097">
        <w:rPr>
          <w:rFonts w:ascii="Times New Roman" w:hAnsi="Times New Roman" w:cs="Times New Roman"/>
          <w:kern w:val="0"/>
          <w:sz w:val="24"/>
          <w:szCs w:val="24"/>
        </w:rPr>
        <w:t>improving this visibility</w:t>
      </w:r>
      <w:r w:rsidRPr="005D787D">
        <w:rPr>
          <w:rFonts w:ascii="Times New Roman" w:hAnsi="Times New Roman" w:cs="Times New Roman"/>
          <w:kern w:val="0"/>
          <w:sz w:val="24"/>
          <w:szCs w:val="24"/>
        </w:rPr>
        <w:t xml:space="preserve">. </w:t>
      </w:r>
      <w:r w:rsidR="00E42097" w:rsidRPr="00E42097">
        <w:rPr>
          <w:rFonts w:ascii="Times New Roman" w:hAnsi="Times New Roman" w:cs="Times New Roman"/>
          <w:kern w:val="0"/>
          <w:sz w:val="24"/>
          <w:szCs w:val="24"/>
        </w:rPr>
        <w:t xml:space="preserve">Finally, we will take few archaeological examples of technological innovations that were found in a vast geographical range and ask whether they were learned through social learning and thus spread throughout the world or were invented separately in a model of individual learning by trial and error. </w:t>
      </w:r>
    </w:p>
    <w:p w14:paraId="728F1287" w14:textId="77777777" w:rsidR="001D2AC5" w:rsidRDefault="001D2AC5" w:rsidP="001D2AC5">
      <w:pPr>
        <w:autoSpaceDE w:val="0"/>
        <w:autoSpaceDN w:val="0"/>
        <w:bidi w:val="0"/>
        <w:adjustRightInd w:val="0"/>
        <w:spacing w:after="0" w:line="240" w:lineRule="auto"/>
        <w:rPr>
          <w:rFonts w:ascii="Times New Roman" w:hAnsi="Times New Roman" w:cs="Times New Roman"/>
          <w:kern w:val="0"/>
          <w:sz w:val="24"/>
          <w:szCs w:val="24"/>
        </w:rPr>
      </w:pPr>
    </w:p>
    <w:p w14:paraId="54D06372" w14:textId="6F3E1A5F" w:rsidR="001D2AC5" w:rsidRDefault="001D2AC5" w:rsidP="001D2AC5">
      <w:pPr>
        <w:autoSpaceDE w:val="0"/>
        <w:autoSpaceDN w:val="0"/>
        <w:bidi w:val="0"/>
        <w:adjustRightInd w:val="0"/>
        <w:spacing w:after="0" w:line="240" w:lineRule="auto"/>
        <w:rPr>
          <w:rFonts w:ascii="Times New Roman" w:hAnsi="Times New Roman" w:cs="Times New Roman"/>
          <w:kern w:val="0"/>
          <w:sz w:val="24"/>
          <w:szCs w:val="24"/>
        </w:rPr>
      </w:pPr>
      <w:r w:rsidRPr="00DA3DDE">
        <w:rPr>
          <w:rFonts w:ascii="Times New Roman" w:hAnsi="Times New Roman" w:cs="Times New Roman"/>
          <w:kern w:val="0"/>
          <w:sz w:val="24"/>
          <w:szCs w:val="24"/>
          <w:u w:val="single"/>
        </w:rPr>
        <w:t>Exams</w:t>
      </w:r>
      <w:r w:rsidRPr="001D2AC5">
        <w:rPr>
          <w:rFonts w:ascii="Times New Roman" w:hAnsi="Times New Roman" w:cs="Times New Roman"/>
          <w:kern w:val="0"/>
          <w:sz w:val="24"/>
          <w:szCs w:val="24"/>
        </w:rPr>
        <w:t>: There are 15 multiple-choice tests, a test for each week. Each question counts equally. The exams comprise all (100%) of the undergraduate grade in the course. For graduate credit, the exams count 75% and a 10–1</w:t>
      </w:r>
      <w:r>
        <w:rPr>
          <w:rFonts w:ascii="Times New Roman" w:hAnsi="Times New Roman" w:cs="Times New Roman"/>
          <w:kern w:val="0"/>
          <w:sz w:val="24"/>
          <w:szCs w:val="24"/>
        </w:rPr>
        <w:t>2</w:t>
      </w:r>
      <w:r w:rsidRPr="001D2AC5">
        <w:rPr>
          <w:rFonts w:ascii="Times New Roman" w:hAnsi="Times New Roman" w:cs="Times New Roman"/>
          <w:kern w:val="0"/>
          <w:sz w:val="24"/>
          <w:szCs w:val="24"/>
        </w:rPr>
        <w:t xml:space="preserve"> page (APA format) term paper, on a preapproved topic, counts 25%. </w:t>
      </w:r>
    </w:p>
    <w:p w14:paraId="348F7880" w14:textId="77777777" w:rsidR="001D2AC5" w:rsidRDefault="001D2AC5" w:rsidP="001D2AC5">
      <w:pPr>
        <w:autoSpaceDE w:val="0"/>
        <w:autoSpaceDN w:val="0"/>
        <w:bidi w:val="0"/>
        <w:adjustRightInd w:val="0"/>
        <w:spacing w:after="0" w:line="240" w:lineRule="auto"/>
        <w:rPr>
          <w:rFonts w:ascii="Times New Roman" w:hAnsi="Times New Roman" w:cs="Times New Roman"/>
          <w:kern w:val="0"/>
          <w:sz w:val="24"/>
          <w:szCs w:val="24"/>
        </w:rPr>
      </w:pPr>
    </w:p>
    <w:p w14:paraId="650B5952" w14:textId="134A3B38" w:rsidR="001D2AC5" w:rsidRDefault="001D2AC5" w:rsidP="00AA47DA">
      <w:pPr>
        <w:autoSpaceDE w:val="0"/>
        <w:autoSpaceDN w:val="0"/>
        <w:bidi w:val="0"/>
        <w:adjustRightInd w:val="0"/>
        <w:spacing w:after="0" w:line="240" w:lineRule="auto"/>
        <w:rPr>
          <w:rFonts w:ascii="Times New Roman" w:hAnsi="Times New Roman" w:cs="Times New Roman"/>
          <w:kern w:val="0"/>
          <w:sz w:val="24"/>
          <w:szCs w:val="24"/>
        </w:rPr>
      </w:pPr>
      <w:r w:rsidRPr="00DA3DDE">
        <w:rPr>
          <w:rFonts w:ascii="Times New Roman" w:hAnsi="Times New Roman" w:cs="Times New Roman"/>
          <w:kern w:val="0"/>
          <w:sz w:val="24"/>
          <w:szCs w:val="24"/>
          <w:u w:val="single"/>
        </w:rPr>
        <w:t>Grading Policy</w:t>
      </w:r>
      <w:r w:rsidRPr="001D2AC5">
        <w:rPr>
          <w:rFonts w:ascii="Times New Roman" w:hAnsi="Times New Roman" w:cs="Times New Roman"/>
          <w:kern w:val="0"/>
          <w:sz w:val="24"/>
          <w:szCs w:val="24"/>
        </w:rPr>
        <w:t>: Your grade will be determined by weekly exams, each of which will cover the primary reading material (15 short online overview lectures) plus additional readings expanding on the week's topic. Your final grade will be determined by the number of points that you receive out of a possible 300 points</w:t>
      </w:r>
      <w:r w:rsidR="00AA47DA">
        <w:rPr>
          <w:rFonts w:ascii="Times New Roman" w:hAnsi="Times New Roman" w:cs="Times New Roman"/>
          <w:kern w:val="0"/>
          <w:sz w:val="24"/>
          <w:szCs w:val="24"/>
        </w:rPr>
        <w:t>.</w:t>
      </w:r>
      <w:r w:rsidRPr="001D2AC5">
        <w:rPr>
          <w:rFonts w:ascii="Times New Roman" w:hAnsi="Times New Roman" w:cs="Times New Roman"/>
          <w:kern w:val="0"/>
          <w:sz w:val="24"/>
          <w:szCs w:val="24"/>
        </w:rPr>
        <w:t xml:space="preserve"> </w:t>
      </w:r>
    </w:p>
    <w:p w14:paraId="0E6411F1" w14:textId="77777777" w:rsid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p>
    <w:p w14:paraId="58E2E93E" w14:textId="6EBDD3E9"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As an undergraduate student, your final grade will be determined by the number of points that</w:t>
      </w:r>
      <w:r>
        <w:rPr>
          <w:rFonts w:ascii="Times New Roman" w:hAnsi="Times New Roman" w:cs="Times New Roman"/>
          <w:kern w:val="0"/>
          <w:sz w:val="24"/>
          <w:szCs w:val="24"/>
        </w:rPr>
        <w:t xml:space="preserve"> </w:t>
      </w:r>
      <w:r w:rsidRPr="00AA47DA">
        <w:rPr>
          <w:rFonts w:ascii="Times New Roman" w:hAnsi="Times New Roman" w:cs="Times New Roman"/>
          <w:kern w:val="0"/>
          <w:sz w:val="24"/>
          <w:szCs w:val="24"/>
        </w:rPr>
        <w:t>you receive out of a possible 300 points on the quizzes</w:t>
      </w:r>
      <w:r>
        <w:rPr>
          <w:rFonts w:ascii="Times New Roman" w:hAnsi="Times New Roman" w:cs="Times New Roman"/>
          <w:kern w:val="0"/>
          <w:sz w:val="24"/>
          <w:szCs w:val="24"/>
        </w:rPr>
        <w:t>:</w:t>
      </w:r>
    </w:p>
    <w:p w14:paraId="141AD893"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A 270-300 Points</w:t>
      </w:r>
    </w:p>
    <w:p w14:paraId="64F34C34"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B 239-269 Points</w:t>
      </w:r>
    </w:p>
    <w:p w14:paraId="64BF47B2"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C 224-338 Points</w:t>
      </w:r>
    </w:p>
    <w:p w14:paraId="192E6B95"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D 209-223 Points</w:t>
      </w:r>
    </w:p>
    <w:p w14:paraId="24E1E688"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F 000-208 Points</w:t>
      </w:r>
    </w:p>
    <w:p w14:paraId="1A7CA21A" w14:textId="77777777" w:rsid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p>
    <w:p w14:paraId="38D1A1AF" w14:textId="17C923E0"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lastRenderedPageBreak/>
        <w:t>As a graduate student, your final grade will be determined by the number of points that you</w:t>
      </w:r>
      <w:r>
        <w:rPr>
          <w:rFonts w:ascii="Times New Roman" w:hAnsi="Times New Roman" w:cs="Times New Roman"/>
          <w:kern w:val="0"/>
          <w:sz w:val="24"/>
          <w:szCs w:val="24"/>
        </w:rPr>
        <w:t xml:space="preserve"> </w:t>
      </w:r>
      <w:r w:rsidRPr="00AA47DA">
        <w:rPr>
          <w:rFonts w:ascii="Times New Roman" w:hAnsi="Times New Roman" w:cs="Times New Roman"/>
          <w:kern w:val="0"/>
          <w:sz w:val="24"/>
          <w:szCs w:val="24"/>
        </w:rPr>
        <w:t>receive out of a possible 400 (300 points on the quizzes, plus 100 points awarded for the</w:t>
      </w:r>
      <w:r>
        <w:rPr>
          <w:rFonts w:ascii="Times New Roman" w:hAnsi="Times New Roman" w:cs="Times New Roman"/>
          <w:kern w:val="0"/>
          <w:sz w:val="24"/>
          <w:szCs w:val="24"/>
        </w:rPr>
        <w:t xml:space="preserve"> research paper):</w:t>
      </w:r>
    </w:p>
    <w:p w14:paraId="42C918DF"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A 360-400 Points</w:t>
      </w:r>
    </w:p>
    <w:p w14:paraId="37CC0398"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B 319-359 Points</w:t>
      </w:r>
    </w:p>
    <w:p w14:paraId="28B2BD3B"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C 299-318 Points</w:t>
      </w:r>
    </w:p>
    <w:p w14:paraId="6C124032" w14:textId="77777777" w:rsidR="00AA47DA" w:rsidRPr="00AA47DA" w:rsidRDefault="00AA47DA" w:rsidP="00AA47DA">
      <w:pPr>
        <w:autoSpaceDE w:val="0"/>
        <w:autoSpaceDN w:val="0"/>
        <w:adjustRightInd w:val="0"/>
        <w:spacing w:after="0" w:line="240" w:lineRule="auto"/>
        <w:jc w:val="right"/>
        <w:rPr>
          <w:rFonts w:ascii="Times New Roman" w:hAnsi="Times New Roman" w:cs="Times New Roman"/>
          <w:kern w:val="0"/>
          <w:sz w:val="24"/>
          <w:szCs w:val="24"/>
        </w:rPr>
      </w:pPr>
      <w:r w:rsidRPr="00AA47DA">
        <w:rPr>
          <w:rFonts w:ascii="Times New Roman" w:hAnsi="Times New Roman" w:cs="Times New Roman"/>
          <w:kern w:val="0"/>
          <w:sz w:val="24"/>
          <w:szCs w:val="24"/>
        </w:rPr>
        <w:t>D 279-298 Points</w:t>
      </w:r>
    </w:p>
    <w:p w14:paraId="39A3365B" w14:textId="1335AE1C" w:rsidR="00AA47DA" w:rsidRDefault="00AA47DA" w:rsidP="00AA47DA">
      <w:pPr>
        <w:autoSpaceDE w:val="0"/>
        <w:autoSpaceDN w:val="0"/>
        <w:bidi w:val="0"/>
        <w:adjustRightInd w:val="0"/>
        <w:spacing w:after="0" w:line="240" w:lineRule="auto"/>
        <w:jc w:val="both"/>
        <w:rPr>
          <w:rFonts w:ascii="Times New Roman" w:hAnsi="Times New Roman" w:cs="Times New Roman"/>
          <w:kern w:val="0"/>
          <w:sz w:val="24"/>
          <w:szCs w:val="24"/>
        </w:rPr>
      </w:pPr>
      <w:r w:rsidRPr="00AA47DA">
        <w:rPr>
          <w:rFonts w:ascii="Times New Roman" w:hAnsi="Times New Roman" w:cs="Times New Roman"/>
          <w:kern w:val="0"/>
          <w:sz w:val="24"/>
          <w:szCs w:val="24"/>
        </w:rPr>
        <w:t>F 000-278 Points</w:t>
      </w:r>
    </w:p>
    <w:p w14:paraId="66F30196" w14:textId="77777777" w:rsidR="00826EE6" w:rsidRPr="00E42097" w:rsidRDefault="00826EE6" w:rsidP="00826EE6">
      <w:pPr>
        <w:autoSpaceDE w:val="0"/>
        <w:autoSpaceDN w:val="0"/>
        <w:bidi w:val="0"/>
        <w:adjustRightInd w:val="0"/>
        <w:spacing w:after="0" w:line="240" w:lineRule="auto"/>
        <w:rPr>
          <w:rFonts w:ascii="Times New Roman" w:hAnsi="Times New Roman" w:cs="Times New Roman"/>
          <w:kern w:val="0"/>
          <w:sz w:val="24"/>
          <w:szCs w:val="24"/>
        </w:rPr>
      </w:pPr>
    </w:p>
    <w:p w14:paraId="5252B45D" w14:textId="000C9126" w:rsidR="007650EE" w:rsidRDefault="007650EE" w:rsidP="00E42097">
      <w:pPr>
        <w:autoSpaceDE w:val="0"/>
        <w:autoSpaceDN w:val="0"/>
        <w:bidi w:val="0"/>
        <w:adjustRightInd w:val="0"/>
        <w:spacing w:after="0" w:line="240" w:lineRule="auto"/>
        <w:rPr>
          <w:b/>
          <w:bCs/>
          <w:rtl/>
        </w:rPr>
      </w:pPr>
    </w:p>
    <w:tbl>
      <w:tblPr>
        <w:tblStyle w:val="a3"/>
        <w:bidiVisual/>
        <w:tblW w:w="0" w:type="auto"/>
        <w:tblLook w:val="04A0" w:firstRow="1" w:lastRow="0" w:firstColumn="1" w:lastColumn="0" w:noHBand="0" w:noVBand="1"/>
      </w:tblPr>
      <w:tblGrid>
        <w:gridCol w:w="6887"/>
        <w:gridCol w:w="1409"/>
      </w:tblGrid>
      <w:tr w:rsidR="00B76FAC" w14:paraId="36E2A608" w14:textId="77777777" w:rsidTr="00B76FAC">
        <w:tc>
          <w:tcPr>
            <w:tcW w:w="6887" w:type="dxa"/>
          </w:tcPr>
          <w:p w14:paraId="547D822D" w14:textId="553DFEF4" w:rsidR="00F579FA" w:rsidRPr="00404540" w:rsidRDefault="00B76FAC" w:rsidP="00404540">
            <w:pPr>
              <w:jc w:val="right"/>
              <w:rPr>
                <w:rFonts w:cstheme="minorHAnsi"/>
                <w:b/>
                <w:bCs/>
              </w:rPr>
            </w:pPr>
            <w:r w:rsidRPr="00404540">
              <w:rPr>
                <w:rFonts w:cstheme="minorHAnsi"/>
                <w:b/>
                <w:bCs/>
              </w:rPr>
              <w:t>Introduction to</w:t>
            </w:r>
            <w:r w:rsidR="00404540" w:rsidRPr="00404540">
              <w:rPr>
                <w:rFonts w:cstheme="minorHAnsi"/>
                <w:b/>
                <w:bCs/>
              </w:rPr>
              <w:t xml:space="preserve"> the</w:t>
            </w:r>
            <w:r w:rsidRPr="00404540">
              <w:rPr>
                <w:rFonts w:cstheme="minorHAnsi"/>
                <w:b/>
                <w:bCs/>
              </w:rPr>
              <w:t xml:space="preserve"> learning</w:t>
            </w:r>
            <w:r w:rsidR="00404540" w:rsidRPr="00404540">
              <w:rPr>
                <w:rFonts w:cstheme="minorHAnsi"/>
                <w:b/>
                <w:bCs/>
                <w:kern w:val="0"/>
                <w:sz w:val="24"/>
                <w:szCs w:val="24"/>
              </w:rPr>
              <w:t xml:space="preserve"> system </w:t>
            </w:r>
            <w:r w:rsidR="00404540" w:rsidRPr="00404540">
              <w:rPr>
                <w:rFonts w:cstheme="minorHAnsi"/>
                <w:b/>
                <w:bCs/>
              </w:rPr>
              <w:t xml:space="preserve">throughout Human Evolution </w:t>
            </w:r>
          </w:p>
          <w:p w14:paraId="04951872" w14:textId="77777777" w:rsidR="00F579FA" w:rsidRPr="00F579FA" w:rsidRDefault="00F579FA" w:rsidP="00F579FA">
            <w:pPr>
              <w:pStyle w:val="a4"/>
              <w:numPr>
                <w:ilvl w:val="0"/>
                <w:numId w:val="8"/>
              </w:numPr>
              <w:bidi w:val="0"/>
              <w:rPr>
                <w:u w:val="single"/>
              </w:rPr>
            </w:pPr>
            <w:r w:rsidRPr="00F579FA">
              <w:rPr>
                <w:u w:val="single"/>
              </w:rPr>
              <w:t>Reading</w:t>
            </w:r>
          </w:p>
          <w:p w14:paraId="327BCEE5" w14:textId="77777777" w:rsidR="00E00C5E" w:rsidRPr="00E00C5E" w:rsidRDefault="00F579FA" w:rsidP="00F579FA">
            <w:pPr>
              <w:pStyle w:val="a4"/>
              <w:numPr>
                <w:ilvl w:val="0"/>
                <w:numId w:val="8"/>
              </w:numPr>
              <w:bidi w:val="0"/>
              <w:rPr>
                <w:b/>
                <w:bCs/>
              </w:rPr>
            </w:pPr>
            <w:r w:rsidRPr="00F579FA">
              <w:t>Kendal, R. L., Boogert, N. J., Rendell, L., Laland, K. N., Webster, M., &amp; Jones, P. L. (2018). Social learning strategies: Bridge-building between fields. </w:t>
            </w:r>
            <w:r w:rsidRPr="00F579FA">
              <w:rPr>
                <w:i/>
                <w:iCs/>
              </w:rPr>
              <w:t>Trends in cognitive sciences</w:t>
            </w:r>
            <w:r w:rsidRPr="00F579FA">
              <w:t>, </w:t>
            </w:r>
            <w:r w:rsidRPr="00F579FA">
              <w:rPr>
                <w:i/>
                <w:iCs/>
              </w:rPr>
              <w:t>22</w:t>
            </w:r>
            <w:r w:rsidRPr="00F579FA">
              <w:t>(7), 651-665.</w:t>
            </w:r>
            <w:r w:rsidR="0094663B">
              <w:t xml:space="preserve"> </w:t>
            </w:r>
          </w:p>
          <w:p w14:paraId="485C6500" w14:textId="0E8A9355" w:rsidR="00B76FAC" w:rsidRPr="00E00C5E" w:rsidRDefault="00E00C5E" w:rsidP="00E00C5E">
            <w:pPr>
              <w:pStyle w:val="a4"/>
              <w:numPr>
                <w:ilvl w:val="0"/>
                <w:numId w:val="8"/>
              </w:numPr>
              <w:bidi w:val="0"/>
            </w:pPr>
            <w:r w:rsidRPr="00E00C5E">
              <w:t>Gopnik, A., Frankenhuis, W. E., &amp; Tomasello, M. (2020). Introduction to special issue:‘Life history and learning: how childhood, caregiving and old age shape cognition and culture in humans and other animals’. </w:t>
            </w:r>
            <w:r w:rsidRPr="00E00C5E">
              <w:rPr>
                <w:i/>
                <w:iCs/>
              </w:rPr>
              <w:t>Philosophical Transactions of the Royal Society B</w:t>
            </w:r>
            <w:r w:rsidRPr="00E00C5E">
              <w:t>, </w:t>
            </w:r>
            <w:r w:rsidRPr="00E00C5E">
              <w:rPr>
                <w:i/>
                <w:iCs/>
              </w:rPr>
              <w:t>375</w:t>
            </w:r>
            <w:r w:rsidRPr="00E00C5E">
              <w:t>(1803), 20190489.</w:t>
            </w:r>
          </w:p>
        </w:tc>
        <w:tc>
          <w:tcPr>
            <w:tcW w:w="1409" w:type="dxa"/>
          </w:tcPr>
          <w:p w14:paraId="1B9B7BA2" w14:textId="74858EA9" w:rsidR="00B76FAC" w:rsidRDefault="00B76FAC" w:rsidP="00CF6049">
            <w:pPr>
              <w:jc w:val="right"/>
              <w:rPr>
                <w:b/>
                <w:bCs/>
              </w:rPr>
            </w:pPr>
            <w:r>
              <w:rPr>
                <w:b/>
                <w:bCs/>
              </w:rPr>
              <w:t>Week 1</w:t>
            </w:r>
          </w:p>
        </w:tc>
      </w:tr>
      <w:tr w:rsidR="00B76FAC" w14:paraId="6C026151" w14:textId="77777777" w:rsidTr="00B76FAC">
        <w:tc>
          <w:tcPr>
            <w:tcW w:w="6887" w:type="dxa"/>
          </w:tcPr>
          <w:p w14:paraId="0DA8F530" w14:textId="77777777" w:rsidR="00D8567A" w:rsidRPr="00D8567A" w:rsidRDefault="00D8567A" w:rsidP="00D8567A">
            <w:pPr>
              <w:jc w:val="right"/>
              <w:rPr>
                <w:b/>
                <w:bCs/>
              </w:rPr>
            </w:pPr>
            <w:r w:rsidRPr="00D8567A">
              <w:rPr>
                <w:b/>
                <w:bCs/>
              </w:rPr>
              <w:t>Dolphins, handaxes and a deserted island: Individual learning a mechanism</w:t>
            </w:r>
          </w:p>
          <w:p w14:paraId="01F432D9" w14:textId="77777777" w:rsidR="00202B7A" w:rsidRDefault="000943EE" w:rsidP="005B2A74">
            <w:pPr>
              <w:jc w:val="right"/>
            </w:pPr>
            <w:r>
              <w:t xml:space="preserve">Trial and </w:t>
            </w:r>
            <w:r w:rsidR="005B2A74">
              <w:t>error-based learning</w:t>
            </w:r>
            <w:r>
              <w:t>, "zone of latent solution" theory</w:t>
            </w:r>
            <w:r w:rsidR="005B2A74">
              <w:t>,</w:t>
            </w:r>
            <w:r w:rsidR="005B2A74" w:rsidRPr="005B2A74">
              <w:t xml:space="preserve"> the</w:t>
            </w:r>
            <w:r w:rsidR="00396BCF">
              <w:t xml:space="preserve"> theoretical</w:t>
            </w:r>
            <w:r w:rsidR="005B2A74" w:rsidRPr="005B2A74">
              <w:t xml:space="preserve"> "island test"</w:t>
            </w:r>
            <w:r w:rsidR="005B2A74">
              <w:t>, convergent evolution, and</w:t>
            </w:r>
            <w:r w:rsidR="00E00B17">
              <w:t xml:space="preserve"> the Acheulian handaxe as</w:t>
            </w:r>
            <w:r w:rsidR="005B2A74">
              <w:t xml:space="preserve"> an archaeological case study</w:t>
            </w:r>
            <w:r w:rsidR="003D681D">
              <w:rPr>
                <w:rFonts w:hint="cs"/>
              </w:rPr>
              <w:t>.</w:t>
            </w:r>
            <w:r w:rsidR="005B2A74">
              <w:t xml:space="preserve"> </w:t>
            </w:r>
          </w:p>
          <w:p w14:paraId="52D03F50" w14:textId="77777777" w:rsidR="00202B7A" w:rsidRPr="00202B7A" w:rsidRDefault="00202B7A" w:rsidP="00202B7A">
            <w:pPr>
              <w:pStyle w:val="a4"/>
              <w:numPr>
                <w:ilvl w:val="0"/>
                <w:numId w:val="9"/>
              </w:numPr>
              <w:bidi w:val="0"/>
              <w:rPr>
                <w:u w:val="single"/>
              </w:rPr>
            </w:pPr>
            <w:r w:rsidRPr="00202B7A">
              <w:rPr>
                <w:u w:val="single"/>
              </w:rPr>
              <w:t>Reading</w:t>
            </w:r>
          </w:p>
          <w:p w14:paraId="55F9EBA6" w14:textId="49C5FB6F" w:rsidR="00F45514" w:rsidRDefault="00F45514" w:rsidP="00F45514">
            <w:pPr>
              <w:pStyle w:val="a4"/>
              <w:numPr>
                <w:ilvl w:val="0"/>
                <w:numId w:val="9"/>
              </w:numPr>
              <w:bidi w:val="0"/>
            </w:pPr>
            <w:r w:rsidRPr="00F45514">
              <w:t>Tennie, C., Premo, L. S., Braun, D. R., &amp; McPherron, S. P. (2017). Early stone tools and cultural transmission: Resetting the null hypothesis. </w:t>
            </w:r>
            <w:r w:rsidRPr="00F45514">
              <w:rPr>
                <w:i/>
                <w:iCs/>
              </w:rPr>
              <w:t>Current Anthropology</w:t>
            </w:r>
            <w:r w:rsidRPr="00F45514">
              <w:t>, </w:t>
            </w:r>
            <w:r w:rsidRPr="00F45514">
              <w:rPr>
                <w:i/>
                <w:iCs/>
              </w:rPr>
              <w:t>58</w:t>
            </w:r>
            <w:r w:rsidRPr="00F45514">
              <w:t>(5), 652-672.</w:t>
            </w:r>
          </w:p>
          <w:p w14:paraId="300852E1" w14:textId="17EC7198" w:rsidR="00D83C9A" w:rsidRPr="000943EE" w:rsidRDefault="004D7F32" w:rsidP="00490A33">
            <w:pPr>
              <w:pStyle w:val="a4"/>
              <w:numPr>
                <w:ilvl w:val="0"/>
                <w:numId w:val="9"/>
              </w:numPr>
              <w:bidi w:val="0"/>
            </w:pPr>
            <w:r w:rsidRPr="004D7F32">
              <w:t>Corbey, R., Jagich, A., Vaesen, K., &amp; Collard, M. (2016). The acheulean handaxe: More like a bird's song than a beatles' tune?. </w:t>
            </w:r>
            <w:r w:rsidRPr="004D7F32">
              <w:rPr>
                <w:i/>
                <w:iCs/>
              </w:rPr>
              <w:t>Evolutionary Anthropology: Issues, News, and Reviews</w:t>
            </w:r>
            <w:r w:rsidRPr="004D7F32">
              <w:t>, </w:t>
            </w:r>
            <w:r w:rsidRPr="004D7F32">
              <w:rPr>
                <w:i/>
                <w:iCs/>
              </w:rPr>
              <w:t>25</w:t>
            </w:r>
            <w:r w:rsidRPr="004D7F32">
              <w:t>(1), 6-19.</w:t>
            </w:r>
          </w:p>
        </w:tc>
        <w:tc>
          <w:tcPr>
            <w:tcW w:w="1409" w:type="dxa"/>
          </w:tcPr>
          <w:p w14:paraId="4A6050A3" w14:textId="01DCE47D" w:rsidR="00B76FAC" w:rsidRDefault="00B76FAC" w:rsidP="00CF6049">
            <w:pPr>
              <w:jc w:val="right"/>
              <w:rPr>
                <w:b/>
                <w:bCs/>
              </w:rPr>
            </w:pPr>
            <w:r>
              <w:rPr>
                <w:b/>
                <w:bCs/>
              </w:rPr>
              <w:t>Week 2</w:t>
            </w:r>
          </w:p>
        </w:tc>
      </w:tr>
      <w:tr w:rsidR="00B76FAC" w14:paraId="729FAA85" w14:textId="77777777" w:rsidTr="00B76FAC">
        <w:tc>
          <w:tcPr>
            <w:tcW w:w="6887" w:type="dxa"/>
          </w:tcPr>
          <w:p w14:paraId="7F2847CC" w14:textId="72CB45FA" w:rsidR="00B76FAC" w:rsidRDefault="008A609C" w:rsidP="00CF6049">
            <w:pPr>
              <w:jc w:val="right"/>
              <w:rPr>
                <w:b/>
                <w:bCs/>
              </w:rPr>
            </w:pPr>
            <w:r>
              <w:rPr>
                <w:b/>
                <w:bCs/>
              </w:rPr>
              <w:t>Social learning</w:t>
            </w:r>
            <w:r w:rsidR="003E1845">
              <w:rPr>
                <w:b/>
                <w:bCs/>
              </w:rPr>
              <w:t xml:space="preserve"> </w:t>
            </w:r>
          </w:p>
          <w:p w14:paraId="33E2C9D6" w14:textId="28E664E4" w:rsidR="006B4F77" w:rsidRDefault="008A609C" w:rsidP="006B4F77">
            <w:pPr>
              <w:jc w:val="right"/>
            </w:pPr>
            <w:r>
              <w:t xml:space="preserve">The different definitions of social learning. Low and high-fidelity social learning, </w:t>
            </w:r>
            <w:r w:rsidRPr="008A609C">
              <w:t xml:space="preserve">imitation </w:t>
            </w:r>
            <w:r>
              <w:t>versus</w:t>
            </w:r>
            <w:r w:rsidRPr="008A609C">
              <w:t xml:space="preserve"> emulation</w:t>
            </w:r>
            <w:r w:rsidR="002A1200">
              <w:t xml:space="preserve"> and </w:t>
            </w:r>
            <w:r w:rsidR="002A1200" w:rsidRPr="002A1200">
              <w:t>stimulus enhancement</w:t>
            </w:r>
            <w:r w:rsidR="003D681D">
              <w:rPr>
                <w:rFonts w:hint="cs"/>
              </w:rPr>
              <w:t>.</w:t>
            </w:r>
            <w:r w:rsidR="006B4F77" w:rsidRPr="006B4F77">
              <w:t xml:space="preserve"> How dose social factors such as: population size, density, structure, and level of mobility </w:t>
            </w:r>
            <w:r w:rsidR="006B4F77" w:rsidRPr="006B4F77">
              <w:rPr>
                <w:rFonts w:hint="cs"/>
              </w:rPr>
              <w:t>affects</w:t>
            </w:r>
            <w:r w:rsidR="006B4F77" w:rsidRPr="006B4F77">
              <w:t xml:space="preserve"> social learning. What are transmission biases, and how do they affect who we copy, what we copy and under what circumstances we choose to copy.</w:t>
            </w:r>
          </w:p>
          <w:p w14:paraId="54BBDFAD" w14:textId="724867D6" w:rsidR="006B4F77" w:rsidRPr="006B4F77" w:rsidRDefault="006B4F77" w:rsidP="006B4F77">
            <w:pPr>
              <w:pStyle w:val="a4"/>
              <w:numPr>
                <w:ilvl w:val="0"/>
                <w:numId w:val="10"/>
              </w:numPr>
              <w:bidi w:val="0"/>
              <w:rPr>
                <w:u w:val="single"/>
              </w:rPr>
            </w:pPr>
            <w:r w:rsidRPr="006B4F77">
              <w:rPr>
                <w:u w:val="single"/>
              </w:rPr>
              <w:t>Reading</w:t>
            </w:r>
          </w:p>
          <w:p w14:paraId="5B7263B9" w14:textId="77777777" w:rsidR="008A609C" w:rsidRDefault="006B4F77" w:rsidP="006B4F77">
            <w:pPr>
              <w:pStyle w:val="a4"/>
              <w:numPr>
                <w:ilvl w:val="0"/>
                <w:numId w:val="10"/>
              </w:numPr>
              <w:bidi w:val="0"/>
            </w:pPr>
            <w:r w:rsidRPr="006B4F77">
              <w:t>Gärdenfors, P., &amp; Högberg, A. (2017). The archaeology of teaching and the evolution of Homo docens. </w:t>
            </w:r>
            <w:r w:rsidRPr="006B4F77">
              <w:rPr>
                <w:i/>
                <w:iCs/>
              </w:rPr>
              <w:t>Current Anthropology</w:t>
            </w:r>
            <w:r w:rsidRPr="006B4F77">
              <w:t>, </w:t>
            </w:r>
            <w:r w:rsidRPr="006B4F77">
              <w:rPr>
                <w:i/>
                <w:iCs/>
              </w:rPr>
              <w:t>58</w:t>
            </w:r>
            <w:r w:rsidRPr="006B4F77">
              <w:t>(2), 188-208.</w:t>
            </w:r>
          </w:p>
          <w:p w14:paraId="325C540B" w14:textId="36A853D2" w:rsidR="006E1C88" w:rsidRPr="008A609C" w:rsidRDefault="006E1C88" w:rsidP="006E1C88">
            <w:pPr>
              <w:pStyle w:val="a4"/>
              <w:numPr>
                <w:ilvl w:val="0"/>
                <w:numId w:val="10"/>
              </w:numPr>
              <w:bidi w:val="0"/>
            </w:pPr>
            <w:r w:rsidRPr="006E1C88">
              <w:t>Maloney, T. R. (2019). Towards quantifying teaching and learning in prehistory using stone artifact reduction sequences. </w:t>
            </w:r>
            <w:r w:rsidRPr="006E1C88">
              <w:rPr>
                <w:i/>
                <w:iCs/>
              </w:rPr>
              <w:t>Lithic Technology</w:t>
            </w:r>
            <w:r w:rsidRPr="006E1C88">
              <w:t>, </w:t>
            </w:r>
            <w:r w:rsidRPr="006E1C88">
              <w:rPr>
                <w:i/>
                <w:iCs/>
              </w:rPr>
              <w:t>44</w:t>
            </w:r>
            <w:r w:rsidRPr="006E1C88">
              <w:t>(1), 36-51.</w:t>
            </w:r>
          </w:p>
        </w:tc>
        <w:tc>
          <w:tcPr>
            <w:tcW w:w="1409" w:type="dxa"/>
          </w:tcPr>
          <w:p w14:paraId="1B10E7F7" w14:textId="11DDFCA7" w:rsidR="00B76FAC" w:rsidRDefault="00C06F2C" w:rsidP="00CF6049">
            <w:pPr>
              <w:jc w:val="right"/>
              <w:rPr>
                <w:b/>
                <w:bCs/>
              </w:rPr>
            </w:pPr>
            <w:r>
              <w:rPr>
                <w:b/>
                <w:bCs/>
              </w:rPr>
              <w:t>Week 3</w:t>
            </w:r>
          </w:p>
        </w:tc>
      </w:tr>
      <w:tr w:rsidR="00FE5278" w14:paraId="4A6D521A" w14:textId="77777777" w:rsidTr="00B76FAC">
        <w:tc>
          <w:tcPr>
            <w:tcW w:w="6887" w:type="dxa"/>
          </w:tcPr>
          <w:p w14:paraId="5BB717DA" w14:textId="77777777" w:rsidR="00FE5278" w:rsidRDefault="00FE5278" w:rsidP="00FE5278">
            <w:pPr>
              <w:jc w:val="right"/>
              <w:rPr>
                <w:b/>
                <w:bCs/>
              </w:rPr>
            </w:pPr>
            <w:r>
              <w:rPr>
                <w:b/>
                <w:bCs/>
              </w:rPr>
              <w:t>Social learning in other non-human animals</w:t>
            </w:r>
          </w:p>
          <w:p w14:paraId="1A1AE6B5" w14:textId="77777777" w:rsidR="00FE5278" w:rsidRDefault="00FE5278" w:rsidP="00FE5278">
            <w:pPr>
              <w:jc w:val="right"/>
            </w:pPr>
            <w:r>
              <w:rPr>
                <w:rFonts w:hint="cs"/>
              </w:rPr>
              <w:t>E</w:t>
            </w:r>
            <w:r w:rsidRPr="00231D2C">
              <w:t>vidence for social learning in other animals is increasing</w:t>
            </w:r>
            <w:r>
              <w:t xml:space="preserve"> </w:t>
            </w:r>
            <w:r w:rsidRPr="00231D2C">
              <w:t>progressively</w:t>
            </w:r>
            <w:r>
              <w:t>. We will get to know evidence for learning in</w:t>
            </w:r>
            <w:r w:rsidRPr="003E1845">
              <w:t xml:space="preserve"> fish, birds, insects</w:t>
            </w:r>
            <w:r>
              <w:t xml:space="preserve">, </w:t>
            </w:r>
            <w:r w:rsidRPr="003E1845">
              <w:t>dolphins</w:t>
            </w:r>
            <w:r>
              <w:t xml:space="preserve"> and more. </w:t>
            </w:r>
          </w:p>
          <w:p w14:paraId="15115F6F" w14:textId="77777777" w:rsidR="00FE5278" w:rsidRDefault="00FE5278" w:rsidP="00FE5278">
            <w:pPr>
              <w:pStyle w:val="a4"/>
              <w:numPr>
                <w:ilvl w:val="0"/>
                <w:numId w:val="5"/>
              </w:numPr>
              <w:bidi w:val="0"/>
              <w:rPr>
                <w:u w:val="single"/>
              </w:rPr>
            </w:pPr>
            <w:r w:rsidRPr="009330C1">
              <w:rPr>
                <w:u w:val="single"/>
              </w:rPr>
              <w:lastRenderedPageBreak/>
              <w:t xml:space="preserve">Reading </w:t>
            </w:r>
          </w:p>
          <w:p w14:paraId="10AD85D3" w14:textId="77777777" w:rsidR="00FE5278" w:rsidRDefault="00FE5278" w:rsidP="00FE5278">
            <w:pPr>
              <w:pStyle w:val="a4"/>
              <w:numPr>
                <w:ilvl w:val="0"/>
                <w:numId w:val="5"/>
              </w:numPr>
              <w:bidi w:val="0"/>
            </w:pPr>
            <w:r w:rsidRPr="00675538">
              <w:t>Wild, S., Hoppitt, W. J., Allen, S. J., &amp; Krützen, M. (2020). Integrating genetic, environmental, and social networks to reveal transmission pathways of a dolphin foraging innovation. </w:t>
            </w:r>
            <w:r w:rsidRPr="00675538">
              <w:rPr>
                <w:i/>
                <w:iCs/>
              </w:rPr>
              <w:t>Current Biology</w:t>
            </w:r>
            <w:r w:rsidRPr="00675538">
              <w:t>, </w:t>
            </w:r>
            <w:r w:rsidRPr="00675538">
              <w:rPr>
                <w:i/>
                <w:iCs/>
              </w:rPr>
              <w:t>30</w:t>
            </w:r>
            <w:r w:rsidRPr="00675538">
              <w:t>(15), 3024-3030.</w:t>
            </w:r>
          </w:p>
          <w:p w14:paraId="3A78F3F3" w14:textId="6BF3B4E2" w:rsidR="00FE5278" w:rsidRPr="009838A7" w:rsidRDefault="00FE5278" w:rsidP="009838A7">
            <w:pPr>
              <w:pStyle w:val="a4"/>
              <w:numPr>
                <w:ilvl w:val="0"/>
                <w:numId w:val="5"/>
              </w:numPr>
              <w:bidi w:val="0"/>
              <w:rPr>
                <w:b/>
                <w:bCs/>
              </w:rPr>
            </w:pPr>
            <w:r w:rsidRPr="00731AB6">
              <w:t>Botting, J., Whiten, A., Grampp, M., &amp; van de Waal, E. (2018). Field experiments with wild primates reveal no consistent dominance-based bias in social learning. </w:t>
            </w:r>
            <w:r w:rsidRPr="009838A7">
              <w:rPr>
                <w:i/>
                <w:iCs/>
              </w:rPr>
              <w:t>Animal Behaviour</w:t>
            </w:r>
            <w:r w:rsidRPr="00731AB6">
              <w:t>, </w:t>
            </w:r>
            <w:r w:rsidRPr="009838A7">
              <w:rPr>
                <w:i/>
                <w:iCs/>
              </w:rPr>
              <w:t>136</w:t>
            </w:r>
            <w:r w:rsidRPr="00731AB6">
              <w:t>, 1-12.</w:t>
            </w:r>
          </w:p>
        </w:tc>
        <w:tc>
          <w:tcPr>
            <w:tcW w:w="1409" w:type="dxa"/>
          </w:tcPr>
          <w:p w14:paraId="4D33771C" w14:textId="5652CFA7" w:rsidR="00FE5278" w:rsidRDefault="00BD2E57" w:rsidP="00FE5278">
            <w:pPr>
              <w:jc w:val="right"/>
              <w:rPr>
                <w:b/>
                <w:bCs/>
              </w:rPr>
            </w:pPr>
            <w:r>
              <w:rPr>
                <w:b/>
                <w:bCs/>
              </w:rPr>
              <w:lastRenderedPageBreak/>
              <w:t>Week 4</w:t>
            </w:r>
          </w:p>
        </w:tc>
      </w:tr>
      <w:tr w:rsidR="001E0428" w14:paraId="1473F75E" w14:textId="77777777" w:rsidTr="00B76FAC">
        <w:tc>
          <w:tcPr>
            <w:tcW w:w="6887" w:type="dxa"/>
          </w:tcPr>
          <w:p w14:paraId="1324FBCB" w14:textId="77777777" w:rsidR="001E0428" w:rsidRDefault="001E0428" w:rsidP="001E0428">
            <w:pPr>
              <w:jc w:val="right"/>
              <w:rPr>
                <w:b/>
                <w:bCs/>
              </w:rPr>
            </w:pPr>
            <w:r>
              <w:rPr>
                <w:b/>
                <w:bCs/>
              </w:rPr>
              <w:t>Social learning in contemporary Hunter-Gatherer societies</w:t>
            </w:r>
          </w:p>
          <w:p w14:paraId="0CDC5066" w14:textId="77777777" w:rsidR="001E0428" w:rsidRDefault="001E0428" w:rsidP="001E0428">
            <w:pPr>
              <w:jc w:val="right"/>
            </w:pPr>
            <w:r w:rsidRPr="00EB5004">
              <w:t xml:space="preserve">With the </w:t>
            </w:r>
            <w:r>
              <w:t xml:space="preserve">necessary </w:t>
            </w:r>
            <w:r w:rsidRPr="00EB5004">
              <w:t>caution, we will try to see what modern hunter-gatherer societies can teach us about learning in these societies. How is social learning carried out, by whom (gender and age)</w:t>
            </w:r>
            <w:r>
              <w:t xml:space="preserve">, are there special locations, douse it involve any ontological aspects? </w:t>
            </w:r>
            <w:r w:rsidRPr="00C51187">
              <w:t xml:space="preserve">We will get to know stone </w:t>
            </w:r>
            <w:r>
              <w:t>knappers</w:t>
            </w:r>
            <w:r w:rsidRPr="00C51187">
              <w:t xml:space="preserve"> from Papua New Guinea, potters from India and hunters from Congo</w:t>
            </w:r>
            <w:r>
              <w:t>.</w:t>
            </w:r>
          </w:p>
          <w:p w14:paraId="7B050EA0" w14:textId="77777777" w:rsidR="001E0428" w:rsidRPr="006718D3" w:rsidRDefault="001E0428" w:rsidP="001E0428">
            <w:pPr>
              <w:pStyle w:val="a4"/>
              <w:numPr>
                <w:ilvl w:val="0"/>
                <w:numId w:val="3"/>
              </w:numPr>
              <w:bidi w:val="0"/>
              <w:rPr>
                <w:u w:val="single"/>
              </w:rPr>
            </w:pPr>
            <w:r w:rsidRPr="006718D3">
              <w:rPr>
                <w:u w:val="single"/>
              </w:rPr>
              <w:t xml:space="preserve">Reading </w:t>
            </w:r>
          </w:p>
          <w:p w14:paraId="0C0F0B76" w14:textId="77777777" w:rsidR="001E0428" w:rsidRDefault="001E0428" w:rsidP="001E0428">
            <w:pPr>
              <w:pStyle w:val="a4"/>
              <w:numPr>
                <w:ilvl w:val="0"/>
                <w:numId w:val="3"/>
              </w:numPr>
              <w:bidi w:val="0"/>
            </w:pPr>
            <w:r w:rsidRPr="006E3B45">
              <w:t>Lew-Levy, S., Milks, A., Lavi, N., Pope, S. M., &amp; Friesem, D. E. (2020). Where innovations flourish: an ethnographic and archaeological overview of hunter–gatherer learning contexts. </w:t>
            </w:r>
            <w:r w:rsidRPr="006E3B45">
              <w:rPr>
                <w:i/>
                <w:iCs/>
              </w:rPr>
              <w:t>Evolutionary Human Sciences</w:t>
            </w:r>
            <w:r w:rsidRPr="006E3B45">
              <w:t>, </w:t>
            </w:r>
            <w:r w:rsidRPr="006E3B45">
              <w:rPr>
                <w:i/>
                <w:iCs/>
              </w:rPr>
              <w:t>2</w:t>
            </w:r>
            <w:r w:rsidRPr="006E3B45">
              <w:t>, e31.</w:t>
            </w:r>
          </w:p>
          <w:p w14:paraId="4FD26D11" w14:textId="3F873FAD" w:rsidR="001E0428" w:rsidRPr="001E0428" w:rsidRDefault="001E0428" w:rsidP="001E0428">
            <w:pPr>
              <w:pStyle w:val="a4"/>
              <w:numPr>
                <w:ilvl w:val="0"/>
                <w:numId w:val="3"/>
              </w:numPr>
              <w:bidi w:val="0"/>
              <w:rPr>
                <w:b/>
                <w:bCs/>
              </w:rPr>
            </w:pPr>
            <w:r w:rsidRPr="00F53AF3">
              <w:t>Hewlett, B. S., Fouts, H. N., Boyette, A. H., &amp; Hewlett, B. L. (2011). Social learning among Congo Basin hunter–gatherers. </w:t>
            </w:r>
            <w:r w:rsidRPr="001E0428">
              <w:rPr>
                <w:i/>
                <w:iCs/>
              </w:rPr>
              <w:t>Philosophical Transactions of the Royal Society B: Biological Sciences</w:t>
            </w:r>
            <w:r w:rsidRPr="00F53AF3">
              <w:t>, </w:t>
            </w:r>
            <w:r w:rsidRPr="001E0428">
              <w:rPr>
                <w:i/>
                <w:iCs/>
              </w:rPr>
              <w:t>366</w:t>
            </w:r>
            <w:r w:rsidRPr="00F53AF3">
              <w:t>(1567), 1168-1178.</w:t>
            </w:r>
          </w:p>
        </w:tc>
        <w:tc>
          <w:tcPr>
            <w:tcW w:w="1409" w:type="dxa"/>
          </w:tcPr>
          <w:p w14:paraId="56AF0C33" w14:textId="42A2A3D8" w:rsidR="001E0428" w:rsidRDefault="001E0428" w:rsidP="00FE5278">
            <w:pPr>
              <w:jc w:val="right"/>
              <w:rPr>
                <w:b/>
                <w:bCs/>
              </w:rPr>
            </w:pPr>
            <w:r>
              <w:rPr>
                <w:rFonts w:hint="cs"/>
                <w:b/>
                <w:bCs/>
              </w:rPr>
              <w:t>W</w:t>
            </w:r>
            <w:r>
              <w:rPr>
                <w:b/>
                <w:bCs/>
              </w:rPr>
              <w:t xml:space="preserve">eek 5 </w:t>
            </w:r>
          </w:p>
        </w:tc>
      </w:tr>
      <w:tr w:rsidR="001E0428" w14:paraId="65CD7516" w14:textId="77777777" w:rsidTr="00B76FAC">
        <w:tc>
          <w:tcPr>
            <w:tcW w:w="6887" w:type="dxa"/>
          </w:tcPr>
          <w:p w14:paraId="2FAE7497" w14:textId="77777777" w:rsidR="001E0428" w:rsidRDefault="001E0428" w:rsidP="001E0428">
            <w:pPr>
              <w:jc w:val="right"/>
              <w:rPr>
                <w:b/>
                <w:bCs/>
              </w:rPr>
            </w:pPr>
            <w:r>
              <w:rPr>
                <w:b/>
                <w:bCs/>
              </w:rPr>
              <w:t>Social learning in Paleolithic archaeology</w:t>
            </w:r>
          </w:p>
          <w:p w14:paraId="52BB9C4C" w14:textId="77777777" w:rsidR="001E0428" w:rsidRDefault="001E0428" w:rsidP="001E0428">
            <w:pPr>
              <w:jc w:val="right"/>
            </w:pPr>
            <w:r>
              <w:t>We will get to know claims for the early appearance of social learning in f</w:t>
            </w:r>
            <w:r w:rsidRPr="00963013">
              <w:t xml:space="preserve">lint tool </w:t>
            </w:r>
            <w:r>
              <w:t>knapping</w:t>
            </w:r>
            <w:r w:rsidRPr="00963013">
              <w:t>, shamanism, animal dissection, art</w:t>
            </w:r>
            <w:r>
              <w:t>s</w:t>
            </w:r>
            <w:r w:rsidRPr="00963013">
              <w:t xml:space="preserve"> and more</w:t>
            </w:r>
            <w:r>
              <w:rPr>
                <w:rFonts w:hint="cs"/>
              </w:rPr>
              <w:t>.</w:t>
            </w:r>
          </w:p>
          <w:p w14:paraId="0267E87A" w14:textId="77777777" w:rsidR="001E0428" w:rsidRPr="006C678B" w:rsidRDefault="001E0428" w:rsidP="001E0428">
            <w:pPr>
              <w:pStyle w:val="a4"/>
              <w:numPr>
                <w:ilvl w:val="0"/>
                <w:numId w:val="1"/>
              </w:numPr>
              <w:bidi w:val="0"/>
              <w:rPr>
                <w:u w:val="single"/>
              </w:rPr>
            </w:pPr>
            <w:r w:rsidRPr="006C678B">
              <w:rPr>
                <w:u w:val="single"/>
              </w:rPr>
              <w:t>Reading:</w:t>
            </w:r>
          </w:p>
          <w:p w14:paraId="42FE5E97" w14:textId="77777777" w:rsidR="001E0428" w:rsidRDefault="001E0428" w:rsidP="001E0428">
            <w:pPr>
              <w:pStyle w:val="a4"/>
              <w:numPr>
                <w:ilvl w:val="0"/>
                <w:numId w:val="1"/>
              </w:numPr>
              <w:bidi w:val="0"/>
            </w:pPr>
            <w:r w:rsidRPr="007D0E40">
              <w:t>Blasco, R., Rosell, J., Domínguez-Rodrigo, M., Lozano, S., Pastó, I., Riba, D., ... &amp; Carbonell, E. (2013). Learning by heart: cultural patterns in the faunal processing sequence during the Middle Pleistocene. </w:t>
            </w:r>
            <w:r w:rsidRPr="007D0E40">
              <w:rPr>
                <w:i/>
                <w:iCs/>
              </w:rPr>
              <w:t>PloS one</w:t>
            </w:r>
            <w:r w:rsidRPr="007D0E40">
              <w:t>, </w:t>
            </w:r>
            <w:r w:rsidRPr="007D0E40">
              <w:rPr>
                <w:i/>
                <w:iCs/>
              </w:rPr>
              <w:t>8</w:t>
            </w:r>
            <w:r w:rsidRPr="007D0E40">
              <w:t>(2), e55863.</w:t>
            </w:r>
          </w:p>
          <w:p w14:paraId="725DAE91" w14:textId="337FA737" w:rsidR="001E0428" w:rsidRPr="00DB5206" w:rsidRDefault="001E0428" w:rsidP="001E0428">
            <w:pPr>
              <w:pStyle w:val="a4"/>
              <w:numPr>
                <w:ilvl w:val="0"/>
                <w:numId w:val="6"/>
              </w:numPr>
              <w:bidi w:val="0"/>
              <w:rPr>
                <w:rtl/>
              </w:rPr>
            </w:pPr>
            <w:r w:rsidRPr="00B57C63">
              <w:t>Nowell, A. Oral Storytelling and Knowledge Transmission in Upper Paleolithic Children and Adolescents. </w:t>
            </w:r>
            <w:r w:rsidRPr="00B57C63">
              <w:rPr>
                <w:i/>
                <w:iCs/>
              </w:rPr>
              <w:t>J Archaeol Method Theory</w:t>
            </w:r>
            <w:r w:rsidRPr="00B57C63">
              <w:t> </w:t>
            </w:r>
            <w:r w:rsidRPr="00B57C63">
              <w:rPr>
                <w:b/>
                <w:bCs/>
              </w:rPr>
              <w:t>30</w:t>
            </w:r>
            <w:r w:rsidRPr="00B57C63">
              <w:t>, 9–31 (2023). https://doi.org/10.1007/s10816-022-09591-5</w:t>
            </w:r>
          </w:p>
        </w:tc>
        <w:tc>
          <w:tcPr>
            <w:tcW w:w="1409" w:type="dxa"/>
          </w:tcPr>
          <w:p w14:paraId="0EFEF36E" w14:textId="57691F1E" w:rsidR="001E0428" w:rsidRDefault="001E0428" w:rsidP="001E0428">
            <w:pPr>
              <w:jc w:val="right"/>
              <w:rPr>
                <w:b/>
                <w:bCs/>
              </w:rPr>
            </w:pPr>
            <w:r>
              <w:rPr>
                <w:b/>
                <w:bCs/>
              </w:rPr>
              <w:t>Week 6</w:t>
            </w:r>
          </w:p>
        </w:tc>
      </w:tr>
      <w:tr w:rsidR="001E0428" w14:paraId="7AAA6822" w14:textId="77777777" w:rsidTr="00B76FAC">
        <w:tc>
          <w:tcPr>
            <w:tcW w:w="6887" w:type="dxa"/>
          </w:tcPr>
          <w:p w14:paraId="6DF501B3" w14:textId="77777777" w:rsidR="00414217" w:rsidRPr="00414217" w:rsidRDefault="00414217" w:rsidP="00414217">
            <w:pPr>
              <w:bidi w:val="0"/>
              <w:rPr>
                <w:b/>
                <w:bCs/>
              </w:rPr>
            </w:pPr>
            <w:r w:rsidRPr="00414217">
              <w:rPr>
                <w:b/>
                <w:bCs/>
              </w:rPr>
              <w:t xml:space="preserve">The role of children in social learning processes </w:t>
            </w:r>
          </w:p>
          <w:p w14:paraId="6B4F0F69" w14:textId="77777777" w:rsidR="00414217" w:rsidRPr="00414217" w:rsidRDefault="00414217" w:rsidP="00414217">
            <w:pPr>
              <w:bidi w:val="0"/>
              <w:rPr>
                <w:rtl/>
              </w:rPr>
            </w:pPr>
            <w:r w:rsidRPr="00414217">
              <w:t xml:space="preserve">The processes of learning during the phase known as "childhood" hold immense significance in an individual's life, enabling the acquisition of physiological and social capabilities. Through exposure to various domains (economic, cultural, technological, etc.), children gain diverse skills, explore their self-identity, and integrate into the </w:t>
            </w:r>
          </w:p>
          <w:p w14:paraId="530F11D3" w14:textId="77777777" w:rsidR="00414217" w:rsidRPr="00414217" w:rsidRDefault="00414217" w:rsidP="00414217">
            <w:pPr>
              <w:bidi w:val="0"/>
              <w:rPr>
                <w:rtl/>
              </w:rPr>
            </w:pPr>
            <w:r w:rsidRPr="00414217">
              <w:t>economic and cultural structure of their society.</w:t>
            </w:r>
          </w:p>
          <w:p w14:paraId="042BAE0A" w14:textId="77777777" w:rsidR="00414217" w:rsidRPr="00414217" w:rsidRDefault="00414217" w:rsidP="00414217">
            <w:pPr>
              <w:numPr>
                <w:ilvl w:val="0"/>
                <w:numId w:val="6"/>
              </w:numPr>
              <w:bidi w:val="0"/>
              <w:rPr>
                <w:u w:val="single"/>
              </w:rPr>
            </w:pPr>
            <w:r w:rsidRPr="00414217">
              <w:rPr>
                <w:u w:val="single"/>
              </w:rPr>
              <w:t>Reading</w:t>
            </w:r>
          </w:p>
          <w:p w14:paraId="1AC055B4" w14:textId="77777777" w:rsidR="00414217" w:rsidRPr="00414217" w:rsidRDefault="00414217" w:rsidP="00414217">
            <w:pPr>
              <w:numPr>
                <w:ilvl w:val="0"/>
                <w:numId w:val="6"/>
              </w:numPr>
              <w:bidi w:val="0"/>
            </w:pPr>
            <w:r w:rsidRPr="00414217">
              <w:t>Salali, G.D., Chaudhary, N., Bouer, J. </w:t>
            </w:r>
            <w:r w:rsidRPr="00414217">
              <w:rPr>
                <w:i/>
                <w:iCs/>
              </w:rPr>
              <w:t>et al.</w:t>
            </w:r>
            <w:r w:rsidRPr="00414217">
              <w:t> (2019). Development of social learning and play in BaYaka hunter-gatherers of Congo. </w:t>
            </w:r>
            <w:r w:rsidRPr="00414217">
              <w:rPr>
                <w:i/>
                <w:iCs/>
              </w:rPr>
              <w:t>Sci Rep</w:t>
            </w:r>
            <w:r w:rsidRPr="00414217">
              <w:t> </w:t>
            </w:r>
            <w:r w:rsidRPr="00414217">
              <w:rPr>
                <w:b/>
                <w:bCs/>
              </w:rPr>
              <w:t>9</w:t>
            </w:r>
            <w:r w:rsidRPr="00414217">
              <w:t xml:space="preserve">, 11080. </w:t>
            </w:r>
            <w:hyperlink r:id="rId6" w:history="1">
              <w:r w:rsidRPr="00414217">
                <w:rPr>
                  <w:rStyle w:val="Hyperlink"/>
                </w:rPr>
                <w:t>https://doi.org/10.1038/s41598-019-47515-8</w:t>
              </w:r>
            </w:hyperlink>
          </w:p>
          <w:p w14:paraId="1611BAB1" w14:textId="5FA4AA56" w:rsidR="001E0428" w:rsidRPr="00963013" w:rsidRDefault="00414217" w:rsidP="00414217">
            <w:pPr>
              <w:pStyle w:val="a4"/>
              <w:numPr>
                <w:ilvl w:val="0"/>
                <w:numId w:val="6"/>
              </w:numPr>
              <w:bidi w:val="0"/>
            </w:pPr>
            <w:r w:rsidRPr="00414217">
              <w:t>Assaf, E. (2021). Dawn of a new day: The role of children in the assimilation of new technologies throughout the Lower Paleolithic. </w:t>
            </w:r>
            <w:r w:rsidRPr="00414217">
              <w:rPr>
                <w:i/>
                <w:iCs/>
              </w:rPr>
              <w:t>L'anthropologie</w:t>
            </w:r>
            <w:r w:rsidRPr="00414217">
              <w:t>, </w:t>
            </w:r>
            <w:r w:rsidRPr="00414217">
              <w:rPr>
                <w:i/>
                <w:iCs/>
              </w:rPr>
              <w:t>125</w:t>
            </w:r>
            <w:r w:rsidRPr="00414217">
              <w:t>(1), 102836.</w:t>
            </w:r>
          </w:p>
        </w:tc>
        <w:tc>
          <w:tcPr>
            <w:tcW w:w="1409" w:type="dxa"/>
          </w:tcPr>
          <w:p w14:paraId="4133C8C8" w14:textId="6F25079E" w:rsidR="001E0428" w:rsidRDefault="00414217" w:rsidP="001E0428">
            <w:pPr>
              <w:jc w:val="right"/>
              <w:rPr>
                <w:b/>
                <w:bCs/>
              </w:rPr>
            </w:pPr>
            <w:r>
              <w:rPr>
                <w:b/>
                <w:bCs/>
              </w:rPr>
              <w:t>Week 7</w:t>
            </w:r>
          </w:p>
        </w:tc>
      </w:tr>
      <w:tr w:rsidR="001E0428" w14:paraId="639E9395" w14:textId="77777777" w:rsidTr="00B76FAC">
        <w:tc>
          <w:tcPr>
            <w:tcW w:w="6887" w:type="dxa"/>
          </w:tcPr>
          <w:p w14:paraId="35A5B7AC" w14:textId="77777777" w:rsidR="001E0428" w:rsidRDefault="001E0428" w:rsidP="001E0428">
            <w:pPr>
              <w:jc w:val="right"/>
              <w:rPr>
                <w:rFonts w:cs="Arial"/>
                <w:b/>
                <w:bCs/>
              </w:rPr>
            </w:pPr>
            <w:r w:rsidRPr="00963013">
              <w:rPr>
                <w:b/>
                <w:bCs/>
              </w:rPr>
              <w:t>Is learning a human trait</w:t>
            </w:r>
            <w:r>
              <w:rPr>
                <w:rFonts w:cs="Arial"/>
                <w:b/>
                <w:bCs/>
              </w:rPr>
              <w:t>?</w:t>
            </w:r>
            <w:r w:rsidRPr="00094B19">
              <w:rPr>
                <w:b/>
                <w:bCs/>
                <w:sz w:val="24"/>
                <w:szCs w:val="24"/>
              </w:rPr>
              <w:t xml:space="preserve"> </w:t>
            </w:r>
            <w:r w:rsidRPr="00094B19">
              <w:rPr>
                <w:rFonts w:cs="Arial"/>
                <w:b/>
                <w:bCs/>
              </w:rPr>
              <w:t>An evolutionary perspective</w:t>
            </w:r>
          </w:p>
          <w:p w14:paraId="31841687" w14:textId="77777777" w:rsidR="001E0428" w:rsidRDefault="001E0428" w:rsidP="001E0428">
            <w:pPr>
              <w:jc w:val="right"/>
            </w:pPr>
            <w:r w:rsidRPr="00BD5E05">
              <w:rPr>
                <w:rFonts w:cs="Arial"/>
              </w:rPr>
              <w:lastRenderedPageBreak/>
              <w:t>Natural pedagogy</w:t>
            </w:r>
            <w:r w:rsidRPr="00963013">
              <w:rPr>
                <w:rFonts w:cs="Arial"/>
              </w:rPr>
              <w:t xml:space="preserve"> theory</w:t>
            </w:r>
            <w:r>
              <w:rPr>
                <w:rFonts w:cs="Arial"/>
              </w:rPr>
              <w:t>,</w:t>
            </w:r>
            <w:r>
              <w:t xml:space="preserve"> d</w:t>
            </w:r>
            <w:r w:rsidRPr="00BD5E05">
              <w:t>oes social learning increase the individual's ability to survive</w:t>
            </w:r>
            <w:r>
              <w:t>?</w:t>
            </w:r>
            <w:r w:rsidRPr="00BD5E05">
              <w:t xml:space="preserve"> </w:t>
            </w:r>
          </w:p>
          <w:p w14:paraId="3361191A" w14:textId="77777777" w:rsidR="001E0428" w:rsidRDefault="001E0428" w:rsidP="001E0428">
            <w:pPr>
              <w:pStyle w:val="a4"/>
              <w:numPr>
                <w:ilvl w:val="0"/>
                <w:numId w:val="7"/>
              </w:numPr>
              <w:bidi w:val="0"/>
              <w:rPr>
                <w:u w:val="single"/>
              </w:rPr>
            </w:pPr>
            <w:r w:rsidRPr="006141ED">
              <w:rPr>
                <w:u w:val="single"/>
              </w:rPr>
              <w:t>Reading</w:t>
            </w:r>
          </w:p>
          <w:p w14:paraId="2F0CCF0A" w14:textId="77777777" w:rsidR="001E0428" w:rsidRDefault="001E0428" w:rsidP="001E0428">
            <w:pPr>
              <w:pStyle w:val="a4"/>
              <w:numPr>
                <w:ilvl w:val="0"/>
                <w:numId w:val="7"/>
              </w:numPr>
              <w:bidi w:val="0"/>
            </w:pPr>
            <w:r w:rsidRPr="006141ED">
              <w:t>Csibra, G., &amp; Gergely, G. (2011). Natural pedagogy as evolutionary adaptation. </w:t>
            </w:r>
            <w:r w:rsidRPr="006141ED">
              <w:rPr>
                <w:i/>
                <w:iCs/>
              </w:rPr>
              <w:t>Philosophical Transactions of the Royal Society B: Biological Sciences</w:t>
            </w:r>
            <w:r w:rsidRPr="006141ED">
              <w:t>, </w:t>
            </w:r>
            <w:r w:rsidRPr="006141ED">
              <w:rPr>
                <w:i/>
                <w:iCs/>
              </w:rPr>
              <w:t>366</w:t>
            </w:r>
            <w:r w:rsidRPr="006141ED">
              <w:t>(1567), 1149-1157.</w:t>
            </w:r>
          </w:p>
          <w:p w14:paraId="2E6FFA6B" w14:textId="196F8F3F" w:rsidR="001E0428" w:rsidRPr="00F86F4A" w:rsidRDefault="001E0428" w:rsidP="00F86F4A">
            <w:pPr>
              <w:pStyle w:val="a4"/>
              <w:numPr>
                <w:ilvl w:val="0"/>
                <w:numId w:val="7"/>
              </w:numPr>
              <w:bidi w:val="0"/>
              <w:rPr>
                <w:b/>
                <w:bCs/>
              </w:rPr>
            </w:pPr>
            <w:r w:rsidRPr="006E1DB4">
              <w:t>Boyd, R., Richerson, P. J., &amp; Henrich, J. (2011). The cultural niche: Why social learning is essential for human adaptation. </w:t>
            </w:r>
            <w:r w:rsidRPr="00F86F4A">
              <w:rPr>
                <w:i/>
                <w:iCs/>
              </w:rPr>
              <w:t>Proceedings of the National Academy of Sciences</w:t>
            </w:r>
            <w:r w:rsidRPr="006E1DB4">
              <w:t>, </w:t>
            </w:r>
            <w:r w:rsidRPr="00F86F4A">
              <w:rPr>
                <w:i/>
                <w:iCs/>
              </w:rPr>
              <w:t>108</w:t>
            </w:r>
            <w:r w:rsidRPr="006E1DB4">
              <w:t>(supplement_2), 10918-10925.</w:t>
            </w:r>
          </w:p>
        </w:tc>
        <w:tc>
          <w:tcPr>
            <w:tcW w:w="1409" w:type="dxa"/>
          </w:tcPr>
          <w:p w14:paraId="18E6A6ED" w14:textId="44937AD5" w:rsidR="001E0428" w:rsidRDefault="001E0428" w:rsidP="001E0428">
            <w:pPr>
              <w:jc w:val="right"/>
              <w:rPr>
                <w:b/>
                <w:bCs/>
              </w:rPr>
            </w:pPr>
            <w:r>
              <w:rPr>
                <w:b/>
                <w:bCs/>
              </w:rPr>
              <w:lastRenderedPageBreak/>
              <w:t>Week 8</w:t>
            </w:r>
          </w:p>
        </w:tc>
      </w:tr>
      <w:tr w:rsidR="001E0428" w14:paraId="2DDBF65A" w14:textId="77777777" w:rsidTr="00B76FAC">
        <w:tc>
          <w:tcPr>
            <w:tcW w:w="6887" w:type="dxa"/>
          </w:tcPr>
          <w:p w14:paraId="5EC9CD22" w14:textId="77777777" w:rsidR="001E0428" w:rsidRDefault="001E0428" w:rsidP="001E0428">
            <w:pPr>
              <w:jc w:val="right"/>
              <w:rPr>
                <w:b/>
                <w:bCs/>
              </w:rPr>
            </w:pPr>
            <w:r>
              <w:rPr>
                <w:b/>
                <w:bCs/>
              </w:rPr>
              <w:t>Cumulative culture</w:t>
            </w:r>
          </w:p>
          <w:p w14:paraId="7ECF888F" w14:textId="77777777" w:rsidR="001E0428" w:rsidRDefault="001E0428" w:rsidP="001E0428">
            <w:pPr>
              <w:jc w:val="right"/>
            </w:pPr>
            <w:r>
              <w:t>Different d</w:t>
            </w:r>
            <w:r w:rsidRPr="00BB4CED">
              <w:t>efinitions for cumulative culture</w:t>
            </w:r>
            <w:r>
              <w:t xml:space="preserve"> in various disciplines,</w:t>
            </w:r>
            <w:r w:rsidRPr="00BB4CED">
              <w:t xml:space="preserve"> </w:t>
            </w:r>
            <w:r>
              <w:t xml:space="preserve">how did this </w:t>
            </w:r>
            <w:r w:rsidRPr="00B81558">
              <w:t>mechanism enabled the development of complex technologies</w:t>
            </w:r>
            <w:r>
              <w:t>? We will see some archaeological examples for cumulative culture as early as the Acheulian cultural complex</w:t>
            </w:r>
            <w:r>
              <w:rPr>
                <w:rFonts w:hint="cs"/>
              </w:rPr>
              <w:t>.</w:t>
            </w:r>
            <w:r w:rsidRPr="00B81558">
              <w:t xml:space="preserve"> </w:t>
            </w:r>
          </w:p>
          <w:p w14:paraId="7AB6D5C6" w14:textId="77777777" w:rsidR="001E0428" w:rsidRPr="00EB20E7" w:rsidRDefault="001E0428" w:rsidP="001E0428">
            <w:pPr>
              <w:pStyle w:val="a4"/>
              <w:numPr>
                <w:ilvl w:val="0"/>
                <w:numId w:val="4"/>
              </w:numPr>
              <w:bidi w:val="0"/>
              <w:rPr>
                <w:u w:val="single"/>
              </w:rPr>
            </w:pPr>
            <w:r w:rsidRPr="00EB20E7">
              <w:rPr>
                <w:u w:val="single"/>
              </w:rPr>
              <w:t>Reading</w:t>
            </w:r>
          </w:p>
          <w:p w14:paraId="533408A3" w14:textId="77777777" w:rsidR="001E0428" w:rsidRDefault="001E0428" w:rsidP="001E0428">
            <w:pPr>
              <w:pStyle w:val="a4"/>
              <w:numPr>
                <w:ilvl w:val="0"/>
                <w:numId w:val="4"/>
              </w:numPr>
              <w:bidi w:val="0"/>
            </w:pPr>
            <w:r>
              <w:t>V</w:t>
            </w:r>
            <w:r w:rsidRPr="0011201A">
              <w:t xml:space="preserve">an Schaik, C.P., Pradhan, G.R. &amp; Tennie, C. </w:t>
            </w:r>
            <w:r>
              <w:t xml:space="preserve">(2019). </w:t>
            </w:r>
            <w:r w:rsidRPr="0011201A">
              <w:t>Teaching and curiosity: sequential drivers of cumulative cultural evolution in the hominin lineage. </w:t>
            </w:r>
            <w:r w:rsidRPr="0011201A">
              <w:rPr>
                <w:i/>
                <w:iCs/>
              </w:rPr>
              <w:t>Behav Ecol Sociobiol</w:t>
            </w:r>
            <w:r w:rsidRPr="0011201A">
              <w:t> </w:t>
            </w:r>
            <w:r w:rsidRPr="0011201A">
              <w:rPr>
                <w:b/>
                <w:bCs/>
              </w:rPr>
              <w:t>73</w:t>
            </w:r>
            <w:r w:rsidRPr="0011201A">
              <w:t>, 2. https://doi.org/10.1007/s00265-018-2610-7</w:t>
            </w:r>
          </w:p>
          <w:p w14:paraId="0E3C2ADC" w14:textId="77777777" w:rsidR="001E0428" w:rsidRDefault="001E0428" w:rsidP="001E0428">
            <w:pPr>
              <w:pStyle w:val="a4"/>
              <w:numPr>
                <w:ilvl w:val="0"/>
                <w:numId w:val="4"/>
              </w:numPr>
              <w:bidi w:val="0"/>
            </w:pPr>
            <w:r w:rsidRPr="00EB20E7">
              <w:t>Rosenberg-Yefet, T., Shemer, M., and Barkai, R. (2021). Acheulian Shortcuts:</w:t>
            </w:r>
            <w:r>
              <w:t xml:space="preserve"> </w:t>
            </w:r>
            <w:r w:rsidRPr="00EB20E7">
              <w:t>Cumulative Culture and the Use of Handaxes as Cores for the Production of</w:t>
            </w:r>
            <w:r>
              <w:t xml:space="preserve"> </w:t>
            </w:r>
            <w:r w:rsidRPr="00EB20E7">
              <w:t>Predetermined Blanks. J. Archaeological Sci. Rep. 36, 102822. doi:10.1016/j. jasrep.2021.102822</w:t>
            </w:r>
          </w:p>
          <w:p w14:paraId="7669EB7E" w14:textId="68DC1977" w:rsidR="001E0428" w:rsidRPr="006141ED" w:rsidRDefault="001E0428" w:rsidP="00F86F4A">
            <w:pPr>
              <w:pStyle w:val="a4"/>
              <w:bidi w:val="0"/>
              <w:rPr>
                <w:rtl/>
              </w:rPr>
            </w:pPr>
          </w:p>
        </w:tc>
        <w:tc>
          <w:tcPr>
            <w:tcW w:w="1409" w:type="dxa"/>
          </w:tcPr>
          <w:p w14:paraId="587C2673" w14:textId="33DDAAFD" w:rsidR="001E0428" w:rsidRDefault="001E0428" w:rsidP="001E0428">
            <w:pPr>
              <w:jc w:val="right"/>
              <w:rPr>
                <w:b/>
                <w:bCs/>
              </w:rPr>
            </w:pPr>
            <w:r>
              <w:rPr>
                <w:b/>
                <w:bCs/>
              </w:rPr>
              <w:t>Week 9</w:t>
            </w:r>
          </w:p>
        </w:tc>
      </w:tr>
      <w:tr w:rsidR="001E0428" w14:paraId="410C7061" w14:textId="77777777" w:rsidTr="00B76FAC">
        <w:tc>
          <w:tcPr>
            <w:tcW w:w="6887" w:type="dxa"/>
          </w:tcPr>
          <w:p w14:paraId="59F58B84" w14:textId="77777777" w:rsidR="001E0428" w:rsidRDefault="001E0428" w:rsidP="001E0428">
            <w:pPr>
              <w:jc w:val="right"/>
              <w:rPr>
                <w:b/>
                <w:bCs/>
                <w:rtl/>
              </w:rPr>
            </w:pPr>
            <w:r w:rsidRPr="00224353">
              <w:rPr>
                <w:b/>
                <w:bCs/>
              </w:rPr>
              <w:t xml:space="preserve">Learning and the human brain </w:t>
            </w:r>
          </w:p>
          <w:p w14:paraId="3BF63E77" w14:textId="77777777" w:rsidR="001E0428" w:rsidRDefault="001E0428" w:rsidP="001E0428">
            <w:pPr>
              <w:jc w:val="right"/>
            </w:pPr>
            <w:r>
              <w:t xml:space="preserve">What neuroarchaeology can teach us regarding </w:t>
            </w:r>
            <w:r>
              <w:rPr>
                <w:rFonts w:hint="cs"/>
              </w:rPr>
              <w:t xml:space="preserve">which </w:t>
            </w:r>
            <w:r w:rsidRPr="00224353">
              <w:t>parts</w:t>
            </w:r>
            <w:r>
              <w:t xml:space="preserve"> of the brain </w:t>
            </w:r>
            <w:r w:rsidRPr="00224353">
              <w:t>are activated during</w:t>
            </w:r>
            <w:r>
              <w:t xml:space="preserve"> teaching and</w:t>
            </w:r>
            <w:r w:rsidRPr="00224353">
              <w:t xml:space="preserve"> learning</w:t>
            </w:r>
            <w:r>
              <w:t>? What are the minimal cognitive abilities required for</w:t>
            </w:r>
            <w:r>
              <w:rPr>
                <w:rFonts w:hint="cs"/>
              </w:rPr>
              <w:t xml:space="preserve"> learning to </w:t>
            </w:r>
            <w:r>
              <w:t xml:space="preserve">occur? </w:t>
            </w:r>
            <w:r>
              <w:rPr>
                <w:rFonts w:hint="cs"/>
              </w:rPr>
              <w:t>W</w:t>
            </w:r>
            <w:r>
              <w:t xml:space="preserve">hat </w:t>
            </w:r>
            <w:r>
              <w:rPr>
                <w:rFonts w:hint="cs"/>
              </w:rPr>
              <w:t>types</w:t>
            </w:r>
            <w:r>
              <w:t xml:space="preserve"> of memory are involved in learning processes? </w:t>
            </w:r>
            <w:r w:rsidRPr="009338D6">
              <w:t>We will get to know terms like "education of attention"</w:t>
            </w:r>
            <w:r>
              <w:t xml:space="preserve"> and</w:t>
            </w:r>
            <w:r w:rsidRPr="009338D6">
              <w:t xml:space="preserve"> Theory of the mind</w:t>
            </w:r>
            <w:r>
              <w:t>.</w:t>
            </w:r>
          </w:p>
          <w:p w14:paraId="70C72A34" w14:textId="77777777" w:rsidR="001E0428" w:rsidRPr="00FF3DB6" w:rsidRDefault="001E0428" w:rsidP="001E0428">
            <w:pPr>
              <w:pStyle w:val="a4"/>
              <w:numPr>
                <w:ilvl w:val="0"/>
                <w:numId w:val="13"/>
              </w:numPr>
              <w:bidi w:val="0"/>
              <w:rPr>
                <w:u w:val="single"/>
              </w:rPr>
            </w:pPr>
            <w:r w:rsidRPr="00FF3DB6">
              <w:rPr>
                <w:u w:val="single"/>
              </w:rPr>
              <w:t>Reading</w:t>
            </w:r>
          </w:p>
          <w:p w14:paraId="63EE31FD" w14:textId="12D7A041" w:rsidR="00D93DB3" w:rsidRDefault="00D93DB3" w:rsidP="00F86F4A">
            <w:pPr>
              <w:pStyle w:val="a4"/>
              <w:numPr>
                <w:ilvl w:val="0"/>
                <w:numId w:val="13"/>
              </w:numPr>
              <w:bidi w:val="0"/>
            </w:pPr>
            <w:r w:rsidRPr="00D93DB3">
              <w:t xml:space="preserve">Pargeter, J., </w:t>
            </w:r>
            <w:proofErr w:type="spellStart"/>
            <w:r w:rsidRPr="00D93DB3">
              <w:t>Khreisheh</w:t>
            </w:r>
            <w:proofErr w:type="spellEnd"/>
            <w:r w:rsidRPr="00D93DB3">
              <w:t>, N., &amp; Stout, D. (2019). Understanding stone tool-making skill acquisition: Experimental methods and evolutionary implications. Journal of Human Evolution, 133, 146–166.</w:t>
            </w:r>
          </w:p>
          <w:p w14:paraId="6A8695BD" w14:textId="35B10A8A" w:rsidR="001E0428" w:rsidRPr="007E2E9D" w:rsidRDefault="001E0428" w:rsidP="00D93DB3">
            <w:pPr>
              <w:pStyle w:val="a4"/>
              <w:numPr>
                <w:ilvl w:val="0"/>
                <w:numId w:val="13"/>
              </w:numPr>
              <w:bidi w:val="0"/>
              <w:rPr>
                <w:rtl/>
              </w:rPr>
            </w:pPr>
            <w:r w:rsidRPr="00BD32CD">
              <w:t>Lombard, M., Gärdenfors, P. Causal Cognition and Theory of Mind in Evolutionary Cognitive Archaeology. </w:t>
            </w:r>
            <w:r w:rsidRPr="00BD32CD">
              <w:rPr>
                <w:i/>
                <w:iCs/>
              </w:rPr>
              <w:t>Biol Theory</w:t>
            </w:r>
            <w:r w:rsidRPr="00BD32CD">
              <w:t> (2021). https://doi.org/10.1007/s13752-020-00372-5</w:t>
            </w:r>
          </w:p>
        </w:tc>
        <w:tc>
          <w:tcPr>
            <w:tcW w:w="1409" w:type="dxa"/>
          </w:tcPr>
          <w:p w14:paraId="482B5298" w14:textId="61BD4DC7" w:rsidR="001E0428" w:rsidRDefault="001E0428" w:rsidP="001E0428">
            <w:pPr>
              <w:jc w:val="right"/>
              <w:rPr>
                <w:b/>
                <w:bCs/>
              </w:rPr>
            </w:pPr>
            <w:r>
              <w:rPr>
                <w:b/>
                <w:bCs/>
              </w:rPr>
              <w:t>Week 10</w:t>
            </w:r>
          </w:p>
        </w:tc>
      </w:tr>
      <w:tr w:rsidR="001E0428" w14:paraId="2A96494B" w14:textId="77777777" w:rsidTr="00B76FAC">
        <w:tc>
          <w:tcPr>
            <w:tcW w:w="6887" w:type="dxa"/>
          </w:tcPr>
          <w:p w14:paraId="449FD7FA" w14:textId="77777777" w:rsidR="001E0428" w:rsidRDefault="001E0428" w:rsidP="001E0428">
            <w:pPr>
              <w:jc w:val="right"/>
              <w:rPr>
                <w:b/>
                <w:bCs/>
              </w:rPr>
            </w:pPr>
            <w:r w:rsidRPr="000A4657">
              <w:rPr>
                <w:b/>
                <w:bCs/>
              </w:rPr>
              <w:t>Is language necessary for the existence of social learning</w:t>
            </w:r>
            <w:r>
              <w:rPr>
                <w:b/>
                <w:bCs/>
              </w:rPr>
              <w:t>?</w:t>
            </w:r>
          </w:p>
          <w:p w14:paraId="432D66F0" w14:textId="77777777" w:rsidR="001E0428" w:rsidRDefault="001E0428" w:rsidP="001E0428">
            <w:pPr>
              <w:jc w:val="right"/>
            </w:pPr>
            <w:r w:rsidRPr="00BD7037">
              <w:t xml:space="preserve">We will get to know different </w:t>
            </w:r>
            <w:r>
              <w:t>modes</w:t>
            </w:r>
            <w:r w:rsidRPr="00BD7037">
              <w:t xml:space="preserve"> of </w:t>
            </w:r>
            <w:r>
              <w:t>communication</w:t>
            </w:r>
            <w:r w:rsidRPr="00BD7037">
              <w:t xml:space="preserve">, from hand gestures to spoken language and </w:t>
            </w:r>
            <w:r>
              <w:t>investigate</w:t>
            </w:r>
            <w:r w:rsidRPr="00BD7037">
              <w:t xml:space="preserve"> the </w:t>
            </w:r>
            <w:r>
              <w:rPr>
                <w:rFonts w:hint="cs"/>
              </w:rPr>
              <w:t>connections</w:t>
            </w:r>
            <w:r w:rsidRPr="00BD7037">
              <w:t xml:space="preserve"> between language and learning</w:t>
            </w:r>
            <w:r>
              <w:t xml:space="preserve"> in a cognitive perspective.</w:t>
            </w:r>
          </w:p>
          <w:p w14:paraId="3FD2EC37" w14:textId="77777777" w:rsidR="001E0428" w:rsidRPr="006C296C" w:rsidRDefault="001E0428" w:rsidP="001E0428">
            <w:pPr>
              <w:pStyle w:val="a4"/>
              <w:numPr>
                <w:ilvl w:val="0"/>
                <w:numId w:val="11"/>
              </w:numPr>
              <w:bidi w:val="0"/>
              <w:rPr>
                <w:u w:val="single"/>
              </w:rPr>
            </w:pPr>
            <w:r w:rsidRPr="006C296C">
              <w:rPr>
                <w:u w:val="single"/>
              </w:rPr>
              <w:t>Reading</w:t>
            </w:r>
          </w:p>
          <w:p w14:paraId="19BCCA75" w14:textId="77777777" w:rsidR="001E0428" w:rsidRDefault="001E0428" w:rsidP="001E0428">
            <w:pPr>
              <w:pStyle w:val="a4"/>
              <w:numPr>
                <w:ilvl w:val="0"/>
                <w:numId w:val="11"/>
              </w:numPr>
              <w:bidi w:val="0"/>
            </w:pPr>
            <w:r w:rsidRPr="006C296C">
              <w:t>Cataldo, D. M., Migliano, A. B., &amp; Vinicius, L. (2018). Speech, stone tool-making and the evolution of language. </w:t>
            </w:r>
            <w:r w:rsidRPr="006C296C">
              <w:rPr>
                <w:i/>
                <w:iCs/>
              </w:rPr>
              <w:t>PloS one</w:t>
            </w:r>
            <w:r w:rsidRPr="006C296C">
              <w:t>, </w:t>
            </w:r>
            <w:r w:rsidRPr="006C296C">
              <w:rPr>
                <w:i/>
                <w:iCs/>
              </w:rPr>
              <w:t>13</w:t>
            </w:r>
            <w:r w:rsidRPr="006C296C">
              <w:t>(1), e0191071.</w:t>
            </w:r>
          </w:p>
          <w:p w14:paraId="154006F1" w14:textId="7AAFA120" w:rsidR="001E0428" w:rsidRPr="00BB4CED" w:rsidRDefault="001E0428" w:rsidP="00F86F4A">
            <w:pPr>
              <w:pStyle w:val="a4"/>
              <w:numPr>
                <w:ilvl w:val="0"/>
                <w:numId w:val="11"/>
              </w:numPr>
              <w:bidi w:val="0"/>
              <w:rPr>
                <w:rtl/>
              </w:rPr>
            </w:pPr>
            <w:r w:rsidRPr="00BE11D8">
              <w:t xml:space="preserve">Morgan, T. J., Uomini, N. T., Rendell, L. E., Chouinard-Thuly, L., Street, S. E., Lewis, H. M., Cross, C.P., Evans, C., Kearney, R., de la Torre, I., Whiten, A and Laland, K. N. (2015). Experimental evidence for the co-evolution of hominin tool-making teaching </w:t>
            </w:r>
            <w:r w:rsidRPr="00BE11D8">
              <w:lastRenderedPageBreak/>
              <w:t xml:space="preserve">and language. </w:t>
            </w:r>
            <w:r w:rsidRPr="00F86F4A">
              <w:rPr>
                <w:i/>
                <w:iCs/>
              </w:rPr>
              <w:t>Nature communications</w:t>
            </w:r>
            <w:r w:rsidRPr="00BE11D8">
              <w:t xml:space="preserve">, </w:t>
            </w:r>
            <w:r w:rsidRPr="00F86F4A">
              <w:rPr>
                <w:i/>
                <w:iCs/>
              </w:rPr>
              <w:t>6</w:t>
            </w:r>
            <w:r w:rsidRPr="00BE11D8">
              <w:t>(1), 1-8. DOI:</w:t>
            </w:r>
          </w:p>
        </w:tc>
        <w:tc>
          <w:tcPr>
            <w:tcW w:w="1409" w:type="dxa"/>
          </w:tcPr>
          <w:p w14:paraId="54570CE3" w14:textId="2E2C455B" w:rsidR="001E0428" w:rsidRDefault="001E0428" w:rsidP="001E0428">
            <w:pPr>
              <w:jc w:val="right"/>
              <w:rPr>
                <w:b/>
                <w:bCs/>
              </w:rPr>
            </w:pPr>
            <w:r>
              <w:rPr>
                <w:b/>
                <w:bCs/>
              </w:rPr>
              <w:lastRenderedPageBreak/>
              <w:t>Week 11</w:t>
            </w:r>
          </w:p>
        </w:tc>
      </w:tr>
      <w:tr w:rsidR="001E0428" w14:paraId="5A40D47B" w14:textId="77777777" w:rsidTr="00B76FAC">
        <w:tc>
          <w:tcPr>
            <w:tcW w:w="6887" w:type="dxa"/>
          </w:tcPr>
          <w:p w14:paraId="4D879B1D" w14:textId="77777777" w:rsidR="001E0428" w:rsidRPr="00590D5E" w:rsidRDefault="001E0428" w:rsidP="001E0428">
            <w:pPr>
              <w:jc w:val="right"/>
              <w:rPr>
                <w:b/>
                <w:bCs/>
              </w:rPr>
            </w:pPr>
            <w:r w:rsidRPr="003E1845">
              <w:rPr>
                <w:b/>
                <w:bCs/>
              </w:rPr>
              <w:t>The low visibility of learning processes in the archaeological record</w:t>
            </w:r>
            <w:r>
              <w:rPr>
                <w:b/>
                <w:bCs/>
              </w:rPr>
              <w:t xml:space="preserve"> </w:t>
            </w:r>
          </w:p>
          <w:p w14:paraId="66568485" w14:textId="77777777" w:rsidR="001E0428" w:rsidRDefault="001E0428" w:rsidP="001E0428">
            <w:pPr>
              <w:jc w:val="right"/>
            </w:pPr>
            <w:r w:rsidRPr="0060601E">
              <w:t xml:space="preserve">We will get to know the challenge and ways by which research is trying to get learning processes more visible. </w:t>
            </w:r>
            <w:r w:rsidRPr="003E1845">
              <w:t xml:space="preserve">Ways to study learning in prehistory: </w:t>
            </w:r>
            <w:r w:rsidRPr="00590D5E">
              <w:t>Identifying different knapping skill levels and teaching degrees in Archaeological and experimental assemblages</w:t>
            </w:r>
            <w:r>
              <w:t xml:space="preserve">, </w:t>
            </w:r>
            <w:r w:rsidRPr="0060601E">
              <w:t>theoretical models predicting the reflection of the different learning mechanisms on the archaeological record</w:t>
            </w:r>
            <w:r>
              <w:t xml:space="preserve"> and more</w:t>
            </w:r>
            <w:r w:rsidRPr="00590D5E">
              <w:t>.</w:t>
            </w:r>
          </w:p>
          <w:p w14:paraId="2026CC1E" w14:textId="77777777" w:rsidR="001E0428" w:rsidRPr="00B5092D" w:rsidRDefault="001E0428" w:rsidP="001E0428">
            <w:pPr>
              <w:pStyle w:val="a4"/>
              <w:numPr>
                <w:ilvl w:val="0"/>
                <w:numId w:val="2"/>
              </w:numPr>
              <w:bidi w:val="0"/>
              <w:rPr>
                <w:u w:val="single"/>
              </w:rPr>
            </w:pPr>
            <w:r w:rsidRPr="00B5092D">
              <w:rPr>
                <w:u w:val="single"/>
              </w:rPr>
              <w:t>Reading</w:t>
            </w:r>
          </w:p>
          <w:p w14:paraId="0B7160A9" w14:textId="77777777" w:rsidR="001E0428" w:rsidRDefault="001E0428" w:rsidP="001E0428">
            <w:pPr>
              <w:pStyle w:val="a4"/>
              <w:numPr>
                <w:ilvl w:val="0"/>
                <w:numId w:val="2"/>
              </w:numPr>
              <w:bidi w:val="0"/>
            </w:pPr>
            <w:r w:rsidRPr="00B5092D">
              <w:t>Pargeter, J., Liu, C., Kilgore, M.B. </w:t>
            </w:r>
            <w:r w:rsidRPr="00B5092D">
              <w:rPr>
                <w:i/>
                <w:iCs/>
              </w:rPr>
              <w:t>et al.</w:t>
            </w:r>
            <w:r w:rsidRPr="00B5092D">
              <w:t> </w:t>
            </w:r>
            <w:r>
              <w:t xml:space="preserve">(2023). </w:t>
            </w:r>
            <w:r w:rsidRPr="00B5092D">
              <w:t>Testing the Effect of Learning Conditions and Individual Motor/Cognitive Differences on Knapping Skill Acquisition. </w:t>
            </w:r>
            <w:r w:rsidRPr="00B5092D">
              <w:rPr>
                <w:i/>
                <w:iCs/>
              </w:rPr>
              <w:t>J Archaeol Method Theory</w:t>
            </w:r>
            <w:r w:rsidRPr="00B5092D">
              <w:t> </w:t>
            </w:r>
            <w:r w:rsidRPr="00B5092D">
              <w:rPr>
                <w:b/>
                <w:bCs/>
              </w:rPr>
              <w:t>30</w:t>
            </w:r>
            <w:r w:rsidRPr="00B5092D">
              <w:t xml:space="preserve">, 127–171. </w:t>
            </w:r>
            <w:hyperlink r:id="rId7" w:history="1">
              <w:r w:rsidRPr="005C530E">
                <w:rPr>
                  <w:rStyle w:val="Hyperlink"/>
                </w:rPr>
                <w:t>https://doi.org/10.1007/s10816-022-09592-4</w:t>
              </w:r>
            </w:hyperlink>
          </w:p>
          <w:p w14:paraId="1795EAFE" w14:textId="77777777" w:rsidR="001E0428" w:rsidRDefault="001E0428" w:rsidP="001E0428">
            <w:pPr>
              <w:pStyle w:val="a4"/>
              <w:numPr>
                <w:ilvl w:val="0"/>
                <w:numId w:val="2"/>
              </w:numPr>
              <w:bidi w:val="0"/>
            </w:pPr>
            <w:r w:rsidRPr="00987393">
              <w:t>Snyder, W. D., Reeves, J. S., &amp; Tennie, C. (2022). Early knapping techniques do not necessitate cultural transmission. </w:t>
            </w:r>
            <w:r w:rsidRPr="00987393">
              <w:rPr>
                <w:i/>
                <w:iCs/>
              </w:rPr>
              <w:t>Science advances</w:t>
            </w:r>
            <w:r w:rsidRPr="00987393">
              <w:t>, </w:t>
            </w:r>
            <w:r w:rsidRPr="00987393">
              <w:rPr>
                <w:i/>
                <w:iCs/>
              </w:rPr>
              <w:t>8</w:t>
            </w:r>
            <w:r w:rsidRPr="00987393">
              <w:t>(27), eabo2894.</w:t>
            </w:r>
            <w:r>
              <w:t xml:space="preserve"> </w:t>
            </w:r>
            <w:r w:rsidRPr="000B74A0">
              <w:t>10.1038/ncomms7029</w:t>
            </w:r>
          </w:p>
          <w:p w14:paraId="6D64E391" w14:textId="77777777" w:rsidR="001E0428" w:rsidRPr="00590D5E" w:rsidRDefault="001E0428" w:rsidP="001E0428">
            <w:pPr>
              <w:pStyle w:val="a4"/>
              <w:numPr>
                <w:ilvl w:val="0"/>
                <w:numId w:val="2"/>
              </w:numPr>
              <w:bidi w:val="0"/>
            </w:pPr>
            <w:r w:rsidRPr="00BE11D8">
              <w:t>Torres, C., &amp; Preysler, J. B. (2020). Experts also fail: a new methodological approach to skills analysis in lithic industries. </w:t>
            </w:r>
            <w:r w:rsidRPr="00BE11D8">
              <w:rPr>
                <w:i/>
                <w:iCs/>
              </w:rPr>
              <w:t>Journal of Paleolithic Archaeology</w:t>
            </w:r>
            <w:r w:rsidRPr="00BE11D8">
              <w:t>, </w:t>
            </w:r>
            <w:r w:rsidRPr="00BE11D8">
              <w:rPr>
                <w:i/>
                <w:iCs/>
              </w:rPr>
              <w:t>3</w:t>
            </w:r>
            <w:r w:rsidRPr="00BE11D8">
              <w:t>(4), 889-917.</w:t>
            </w:r>
          </w:p>
          <w:p w14:paraId="6AFD6BF8" w14:textId="736D9204" w:rsidR="001E0428" w:rsidRPr="00EB5004" w:rsidRDefault="001E0428" w:rsidP="00F86F4A">
            <w:pPr>
              <w:pStyle w:val="a4"/>
              <w:bidi w:val="0"/>
            </w:pPr>
          </w:p>
        </w:tc>
        <w:tc>
          <w:tcPr>
            <w:tcW w:w="1409" w:type="dxa"/>
          </w:tcPr>
          <w:p w14:paraId="1723FA2A" w14:textId="5BAB311B" w:rsidR="001E0428" w:rsidRDefault="001E0428" w:rsidP="001E0428">
            <w:pPr>
              <w:jc w:val="right"/>
              <w:rPr>
                <w:b/>
                <w:bCs/>
              </w:rPr>
            </w:pPr>
            <w:r>
              <w:rPr>
                <w:b/>
                <w:bCs/>
              </w:rPr>
              <w:t>Week 12+13</w:t>
            </w:r>
          </w:p>
        </w:tc>
      </w:tr>
      <w:tr w:rsidR="001E0428" w14:paraId="446E141D" w14:textId="77777777" w:rsidTr="00B76FAC">
        <w:tc>
          <w:tcPr>
            <w:tcW w:w="6887" w:type="dxa"/>
          </w:tcPr>
          <w:p w14:paraId="5187C90D" w14:textId="77777777" w:rsidR="001E0428" w:rsidRPr="00590D5E" w:rsidRDefault="001E0428" w:rsidP="001E0428">
            <w:pPr>
              <w:jc w:val="right"/>
              <w:rPr>
                <w:b/>
                <w:bCs/>
              </w:rPr>
            </w:pPr>
            <w:r w:rsidRPr="00590D5E">
              <w:rPr>
                <w:b/>
                <w:bCs/>
              </w:rPr>
              <w:t>Social or individual learning?</w:t>
            </w:r>
            <w:r>
              <w:rPr>
                <w:b/>
                <w:bCs/>
              </w:rPr>
              <w:t xml:space="preserve"> </w:t>
            </w:r>
            <w:r w:rsidRPr="00590D5E">
              <w:rPr>
                <w:b/>
                <w:bCs/>
              </w:rPr>
              <w:t xml:space="preserve"> </w:t>
            </w:r>
          </w:p>
          <w:p w14:paraId="6138D54E" w14:textId="77777777" w:rsidR="001E0428" w:rsidRDefault="001E0428" w:rsidP="001E0428">
            <w:pPr>
              <w:jc w:val="right"/>
            </w:pPr>
            <w:r w:rsidRPr="00590D5E">
              <w:t xml:space="preserve">We will present </w:t>
            </w:r>
            <w:r>
              <w:t xml:space="preserve">few </w:t>
            </w:r>
            <w:r w:rsidRPr="00590D5E">
              <w:t xml:space="preserve">archaeological examples of technological innovations </w:t>
            </w:r>
            <w:r>
              <w:t>that were found in a vast geographical range</w:t>
            </w:r>
            <w:r w:rsidRPr="00590D5E">
              <w:t xml:space="preserve"> such as: </w:t>
            </w:r>
            <w:r>
              <w:t>the domestication of fire</w:t>
            </w:r>
            <w:r w:rsidRPr="00590D5E">
              <w:t xml:space="preserve">, </w:t>
            </w:r>
            <w:r>
              <w:t>shamanism</w:t>
            </w:r>
            <w:r w:rsidRPr="00590D5E">
              <w:t xml:space="preserve">, </w:t>
            </w:r>
            <w:r>
              <w:t>knapping</w:t>
            </w:r>
            <w:r w:rsidRPr="00590D5E">
              <w:t xml:space="preserve"> technologies,</w:t>
            </w:r>
            <w:r>
              <w:t xml:space="preserve"> plant and animal</w:t>
            </w:r>
            <w:r w:rsidRPr="00590D5E">
              <w:t xml:space="preserve"> domestication and the beginning of </w:t>
            </w:r>
            <w:r>
              <w:t>pottery</w:t>
            </w:r>
            <w:r w:rsidRPr="00590D5E">
              <w:t>, and we will ask whether they were learned through social learning and thus spread throughout the world or were invented separately in a model of individual learning by trial and error</w:t>
            </w:r>
            <w:r>
              <w:t>.</w:t>
            </w:r>
          </w:p>
          <w:p w14:paraId="5C5C0C84" w14:textId="77777777" w:rsidR="001E0428" w:rsidRPr="00D61F47" w:rsidRDefault="001E0428" w:rsidP="001E0428">
            <w:pPr>
              <w:jc w:val="right"/>
              <w:rPr>
                <w:b/>
                <w:bCs/>
              </w:rPr>
            </w:pPr>
            <w:r>
              <w:rPr>
                <w:b/>
                <w:bCs/>
              </w:rPr>
              <w:t>Reading</w:t>
            </w:r>
          </w:p>
          <w:p w14:paraId="52591578" w14:textId="77777777" w:rsidR="001E0428" w:rsidRDefault="001E0428" w:rsidP="001E0428">
            <w:pPr>
              <w:pStyle w:val="a4"/>
              <w:numPr>
                <w:ilvl w:val="0"/>
                <w:numId w:val="12"/>
              </w:numPr>
              <w:bidi w:val="0"/>
            </w:pPr>
            <w:r w:rsidRPr="007D71F8">
              <w:t>Wilkins, J. (2020). Learner-driven innovation in the stone tool technology of early Homo sapiens. </w:t>
            </w:r>
            <w:r w:rsidRPr="007D71F8">
              <w:rPr>
                <w:i/>
                <w:iCs/>
              </w:rPr>
              <w:t>Evolutionary Human Sciences</w:t>
            </w:r>
            <w:r w:rsidRPr="007D71F8">
              <w:t>, </w:t>
            </w:r>
            <w:r w:rsidRPr="007D71F8">
              <w:rPr>
                <w:i/>
                <w:iCs/>
              </w:rPr>
              <w:t>2</w:t>
            </w:r>
            <w:r w:rsidRPr="007D71F8">
              <w:t>, e40.</w:t>
            </w:r>
          </w:p>
          <w:p w14:paraId="3E997D8D" w14:textId="77777777" w:rsidR="001E0428" w:rsidRDefault="001E0428" w:rsidP="001E0428">
            <w:pPr>
              <w:pStyle w:val="a4"/>
              <w:numPr>
                <w:ilvl w:val="0"/>
                <w:numId w:val="12"/>
              </w:numPr>
              <w:bidi w:val="0"/>
            </w:pPr>
            <w:r w:rsidRPr="00D61F47">
              <w:t>Altman, A., &amp; Mesoudi, A. (2019). Understanding agriculture within the frameworks of cumulative cultural evolution, gene-culture co-evolution, and cultural niche construction. </w:t>
            </w:r>
            <w:r w:rsidRPr="00D61F47">
              <w:rPr>
                <w:i/>
                <w:iCs/>
              </w:rPr>
              <w:t>Human Ecology</w:t>
            </w:r>
            <w:r w:rsidRPr="00D61F47">
              <w:t>, </w:t>
            </w:r>
            <w:r w:rsidRPr="00D61F47">
              <w:rPr>
                <w:i/>
                <w:iCs/>
              </w:rPr>
              <w:t>47</w:t>
            </w:r>
            <w:r w:rsidRPr="00D61F47">
              <w:t>, 483-497.</w:t>
            </w:r>
          </w:p>
          <w:p w14:paraId="217265B6" w14:textId="77777777" w:rsidR="001E0428" w:rsidRDefault="001E0428" w:rsidP="001E0428">
            <w:pPr>
              <w:pStyle w:val="a4"/>
              <w:numPr>
                <w:ilvl w:val="0"/>
                <w:numId w:val="12"/>
              </w:numPr>
              <w:bidi w:val="0"/>
            </w:pPr>
            <w:r w:rsidRPr="0090370C">
              <w:t>Winkelman, M. J. (2022). An ethnological analogy and biogenetic model for interpretation of religion and ritual in the past. </w:t>
            </w:r>
            <w:r w:rsidRPr="0090370C">
              <w:rPr>
                <w:i/>
                <w:iCs/>
              </w:rPr>
              <w:t>Journal of Archaeological Method and Theory</w:t>
            </w:r>
            <w:r w:rsidRPr="0090370C">
              <w:t>, </w:t>
            </w:r>
            <w:r w:rsidRPr="0090370C">
              <w:rPr>
                <w:i/>
                <w:iCs/>
              </w:rPr>
              <w:t>29</w:t>
            </w:r>
            <w:r w:rsidRPr="0090370C">
              <w:t>(2), 335-389.</w:t>
            </w:r>
          </w:p>
          <w:p w14:paraId="3CB4C8A4" w14:textId="77777777" w:rsidR="001E0428" w:rsidRDefault="001E0428" w:rsidP="001E0428">
            <w:pPr>
              <w:pStyle w:val="a4"/>
              <w:numPr>
                <w:ilvl w:val="0"/>
                <w:numId w:val="12"/>
              </w:numPr>
              <w:bidi w:val="0"/>
            </w:pPr>
            <w:r w:rsidRPr="00331D4F">
              <w:t>MacDonald, K., Scherjon, F., van Veen, E., Vaesen, K., &amp; Roebroeks, W. (2021). Middle Pleistocene fire use: The first signal of widespread cultural diffusion in human evolution. </w:t>
            </w:r>
            <w:r w:rsidRPr="00331D4F">
              <w:rPr>
                <w:i/>
                <w:iCs/>
              </w:rPr>
              <w:t>Proceedings of the National Academy of Sciences</w:t>
            </w:r>
            <w:r w:rsidRPr="00331D4F">
              <w:t>, </w:t>
            </w:r>
            <w:r w:rsidRPr="00331D4F">
              <w:rPr>
                <w:i/>
                <w:iCs/>
              </w:rPr>
              <w:t>118</w:t>
            </w:r>
            <w:r w:rsidRPr="00331D4F">
              <w:t>(31), e2101108118.</w:t>
            </w:r>
          </w:p>
          <w:p w14:paraId="7E820707" w14:textId="77777777" w:rsidR="001E0428" w:rsidRDefault="001E0428" w:rsidP="001E0428">
            <w:pPr>
              <w:pStyle w:val="a4"/>
              <w:numPr>
                <w:ilvl w:val="0"/>
                <w:numId w:val="12"/>
              </w:numPr>
              <w:bidi w:val="0"/>
            </w:pPr>
            <w:r w:rsidRPr="00B00DB1">
              <w:t>Schmidt, P. (2020). Culture, environmental adaptation or specific problem solving? On convergence and innovation dynamics related to techniques used for stone heat treatment. In </w:t>
            </w:r>
            <w:r w:rsidRPr="00B00DB1">
              <w:rPr>
                <w:i/>
                <w:iCs/>
              </w:rPr>
              <w:t>Culture History and Convergent Evolution: Can We Detect Populations in Prehistory?</w:t>
            </w:r>
            <w:r w:rsidRPr="00B00DB1">
              <w:t> (pp. 283-290). Cham: Springer International Publishing.</w:t>
            </w:r>
          </w:p>
          <w:p w14:paraId="5D54945F" w14:textId="77777777" w:rsidR="001E0428" w:rsidRDefault="001E0428" w:rsidP="001E0428">
            <w:pPr>
              <w:pStyle w:val="a4"/>
              <w:numPr>
                <w:ilvl w:val="0"/>
                <w:numId w:val="12"/>
              </w:numPr>
              <w:bidi w:val="0"/>
            </w:pPr>
            <w:r w:rsidRPr="009F50F9">
              <w:t>Purugganan, M. D. (2019). Evolutionary insights into the nature of plant domestication. </w:t>
            </w:r>
            <w:r w:rsidRPr="009F50F9">
              <w:rPr>
                <w:i/>
                <w:iCs/>
              </w:rPr>
              <w:t>Current Biology</w:t>
            </w:r>
            <w:r w:rsidRPr="009F50F9">
              <w:t>, </w:t>
            </w:r>
            <w:r w:rsidRPr="009F50F9">
              <w:rPr>
                <w:i/>
                <w:iCs/>
              </w:rPr>
              <w:t>29</w:t>
            </w:r>
            <w:r w:rsidRPr="009F50F9">
              <w:t>(14), R705-R714.</w:t>
            </w:r>
          </w:p>
          <w:p w14:paraId="3C5FD969" w14:textId="10CCF208" w:rsidR="001E0428" w:rsidRPr="00224353" w:rsidRDefault="001E0428" w:rsidP="001E0428">
            <w:pPr>
              <w:pStyle w:val="a4"/>
              <w:numPr>
                <w:ilvl w:val="0"/>
                <w:numId w:val="13"/>
              </w:numPr>
              <w:bidi w:val="0"/>
              <w:rPr>
                <w:rtl/>
              </w:rPr>
            </w:pPr>
            <w:r w:rsidRPr="00423290">
              <w:t>Shipton, C. (2020). The unity of Acheulean culture. In </w:t>
            </w:r>
            <w:r w:rsidRPr="00423290">
              <w:rPr>
                <w:i/>
                <w:iCs/>
              </w:rPr>
              <w:t xml:space="preserve">Culture </w:t>
            </w:r>
            <w:r w:rsidRPr="00423290">
              <w:rPr>
                <w:i/>
                <w:iCs/>
              </w:rPr>
              <w:lastRenderedPageBreak/>
              <w:t>History and Convergent Evolution: Can we detect populations in prehistory?</w:t>
            </w:r>
            <w:r w:rsidRPr="00423290">
              <w:t> (pp. 13-27). Cham: Springer International Publishing.</w:t>
            </w:r>
          </w:p>
        </w:tc>
        <w:tc>
          <w:tcPr>
            <w:tcW w:w="1409" w:type="dxa"/>
          </w:tcPr>
          <w:p w14:paraId="44246CC8" w14:textId="0DF124FE" w:rsidR="001E0428" w:rsidRDefault="001E0428" w:rsidP="001E0428">
            <w:pPr>
              <w:jc w:val="right"/>
              <w:rPr>
                <w:b/>
                <w:bCs/>
              </w:rPr>
            </w:pPr>
            <w:r>
              <w:rPr>
                <w:b/>
                <w:bCs/>
              </w:rPr>
              <w:lastRenderedPageBreak/>
              <w:t>Week 14+15</w:t>
            </w:r>
          </w:p>
        </w:tc>
      </w:tr>
    </w:tbl>
    <w:p w14:paraId="6D18B2D1" w14:textId="77777777" w:rsidR="007650EE" w:rsidRDefault="007650EE" w:rsidP="00CF6049">
      <w:pPr>
        <w:jc w:val="right"/>
        <w:rPr>
          <w:b/>
          <w:bCs/>
          <w:rtl/>
        </w:rPr>
      </w:pPr>
    </w:p>
    <w:p w14:paraId="258C86F6" w14:textId="77777777" w:rsidR="009B29CB" w:rsidRDefault="009B29CB" w:rsidP="00CF6049">
      <w:pPr>
        <w:jc w:val="right"/>
      </w:pPr>
    </w:p>
    <w:sectPr w:rsidR="009B29CB" w:rsidSect="00E537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18"/>
    <w:multiLevelType w:val="hybridMultilevel"/>
    <w:tmpl w:val="3BAA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565"/>
    <w:multiLevelType w:val="hybridMultilevel"/>
    <w:tmpl w:val="EF7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4B95"/>
    <w:multiLevelType w:val="hybridMultilevel"/>
    <w:tmpl w:val="EAA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09F3"/>
    <w:multiLevelType w:val="hybridMultilevel"/>
    <w:tmpl w:val="0376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6240E"/>
    <w:multiLevelType w:val="hybridMultilevel"/>
    <w:tmpl w:val="21F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47D28"/>
    <w:multiLevelType w:val="hybridMultilevel"/>
    <w:tmpl w:val="4DAA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F1A8D"/>
    <w:multiLevelType w:val="hybridMultilevel"/>
    <w:tmpl w:val="66D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50C66"/>
    <w:multiLevelType w:val="hybridMultilevel"/>
    <w:tmpl w:val="D77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24D42"/>
    <w:multiLevelType w:val="hybridMultilevel"/>
    <w:tmpl w:val="16B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E3616"/>
    <w:multiLevelType w:val="hybridMultilevel"/>
    <w:tmpl w:val="3B7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6780"/>
    <w:multiLevelType w:val="hybridMultilevel"/>
    <w:tmpl w:val="AA2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E3293"/>
    <w:multiLevelType w:val="hybridMultilevel"/>
    <w:tmpl w:val="3EE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D50EF"/>
    <w:multiLevelType w:val="hybridMultilevel"/>
    <w:tmpl w:val="5F20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43B1B"/>
    <w:multiLevelType w:val="hybridMultilevel"/>
    <w:tmpl w:val="2D0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550E0"/>
    <w:multiLevelType w:val="hybridMultilevel"/>
    <w:tmpl w:val="870A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841073">
    <w:abstractNumId w:val="1"/>
  </w:num>
  <w:num w:numId="2" w16cid:durableId="2027100590">
    <w:abstractNumId w:val="11"/>
  </w:num>
  <w:num w:numId="3" w16cid:durableId="362291676">
    <w:abstractNumId w:val="8"/>
  </w:num>
  <w:num w:numId="4" w16cid:durableId="363143714">
    <w:abstractNumId w:val="7"/>
  </w:num>
  <w:num w:numId="5" w16cid:durableId="785275440">
    <w:abstractNumId w:val="3"/>
  </w:num>
  <w:num w:numId="6" w16cid:durableId="405154856">
    <w:abstractNumId w:val="4"/>
  </w:num>
  <w:num w:numId="7" w16cid:durableId="1970739874">
    <w:abstractNumId w:val="14"/>
  </w:num>
  <w:num w:numId="8" w16cid:durableId="1786729256">
    <w:abstractNumId w:val="13"/>
  </w:num>
  <w:num w:numId="9" w16cid:durableId="462430631">
    <w:abstractNumId w:val="9"/>
  </w:num>
  <w:num w:numId="10" w16cid:durableId="1674794270">
    <w:abstractNumId w:val="6"/>
  </w:num>
  <w:num w:numId="11" w16cid:durableId="2016571220">
    <w:abstractNumId w:val="5"/>
  </w:num>
  <w:num w:numId="12" w16cid:durableId="920454336">
    <w:abstractNumId w:val="10"/>
  </w:num>
  <w:num w:numId="13" w16cid:durableId="712728055">
    <w:abstractNumId w:val="2"/>
  </w:num>
  <w:num w:numId="14" w16cid:durableId="1369181954">
    <w:abstractNumId w:val="12"/>
  </w:num>
  <w:num w:numId="15" w16cid:durableId="93181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7D48"/>
    <w:rsid w:val="00030901"/>
    <w:rsid w:val="0003666F"/>
    <w:rsid w:val="00046B7D"/>
    <w:rsid w:val="000546D5"/>
    <w:rsid w:val="00087EB0"/>
    <w:rsid w:val="000943EE"/>
    <w:rsid w:val="00094B19"/>
    <w:rsid w:val="000A4657"/>
    <w:rsid w:val="000B74A0"/>
    <w:rsid w:val="0010133D"/>
    <w:rsid w:val="0011201A"/>
    <w:rsid w:val="001428B8"/>
    <w:rsid w:val="00143528"/>
    <w:rsid w:val="001470B3"/>
    <w:rsid w:val="001622C9"/>
    <w:rsid w:val="00167F31"/>
    <w:rsid w:val="00173B81"/>
    <w:rsid w:val="00180A65"/>
    <w:rsid w:val="001834B8"/>
    <w:rsid w:val="00191028"/>
    <w:rsid w:val="001D2AC5"/>
    <w:rsid w:val="001D2B90"/>
    <w:rsid w:val="001D3283"/>
    <w:rsid w:val="001E0428"/>
    <w:rsid w:val="001F073F"/>
    <w:rsid w:val="00202B7A"/>
    <w:rsid w:val="00224353"/>
    <w:rsid w:val="00231D2C"/>
    <w:rsid w:val="00237A59"/>
    <w:rsid w:val="0024771A"/>
    <w:rsid w:val="00254B45"/>
    <w:rsid w:val="00265C34"/>
    <w:rsid w:val="00275D8E"/>
    <w:rsid w:val="002A1200"/>
    <w:rsid w:val="002A4DF8"/>
    <w:rsid w:val="002E3640"/>
    <w:rsid w:val="002E77DD"/>
    <w:rsid w:val="00324526"/>
    <w:rsid w:val="00331D4F"/>
    <w:rsid w:val="003661E7"/>
    <w:rsid w:val="00396BCF"/>
    <w:rsid w:val="003C0474"/>
    <w:rsid w:val="003D681D"/>
    <w:rsid w:val="003E1845"/>
    <w:rsid w:val="00404540"/>
    <w:rsid w:val="00414217"/>
    <w:rsid w:val="00422AE7"/>
    <w:rsid w:val="00423290"/>
    <w:rsid w:val="004402DA"/>
    <w:rsid w:val="00441654"/>
    <w:rsid w:val="00487C92"/>
    <w:rsid w:val="00490A33"/>
    <w:rsid w:val="004A57B0"/>
    <w:rsid w:val="004D7F32"/>
    <w:rsid w:val="004E1200"/>
    <w:rsid w:val="005112CE"/>
    <w:rsid w:val="00517F20"/>
    <w:rsid w:val="0052449D"/>
    <w:rsid w:val="00537D48"/>
    <w:rsid w:val="00561AF2"/>
    <w:rsid w:val="00590D5E"/>
    <w:rsid w:val="00597DD4"/>
    <w:rsid w:val="005B2A74"/>
    <w:rsid w:val="005D787D"/>
    <w:rsid w:val="005E5DC6"/>
    <w:rsid w:val="0060601E"/>
    <w:rsid w:val="006141ED"/>
    <w:rsid w:val="006362DD"/>
    <w:rsid w:val="006718D3"/>
    <w:rsid w:val="00673233"/>
    <w:rsid w:val="00675538"/>
    <w:rsid w:val="006A4032"/>
    <w:rsid w:val="006B4F77"/>
    <w:rsid w:val="006C296C"/>
    <w:rsid w:val="006C678B"/>
    <w:rsid w:val="006D0667"/>
    <w:rsid w:val="006D1B89"/>
    <w:rsid w:val="006E1C88"/>
    <w:rsid w:val="006E1DB4"/>
    <w:rsid w:val="006E3B45"/>
    <w:rsid w:val="006F4AC7"/>
    <w:rsid w:val="00731AB6"/>
    <w:rsid w:val="007328AE"/>
    <w:rsid w:val="007650EE"/>
    <w:rsid w:val="0079374A"/>
    <w:rsid w:val="007D0E40"/>
    <w:rsid w:val="007D71F8"/>
    <w:rsid w:val="007E2E9D"/>
    <w:rsid w:val="007F1A07"/>
    <w:rsid w:val="00826EE6"/>
    <w:rsid w:val="00827966"/>
    <w:rsid w:val="0088173B"/>
    <w:rsid w:val="008A609C"/>
    <w:rsid w:val="008B21E2"/>
    <w:rsid w:val="008B426A"/>
    <w:rsid w:val="008D54E3"/>
    <w:rsid w:val="008E4F25"/>
    <w:rsid w:val="008E65EF"/>
    <w:rsid w:val="008E6A77"/>
    <w:rsid w:val="0090370C"/>
    <w:rsid w:val="009062CE"/>
    <w:rsid w:val="00906A2E"/>
    <w:rsid w:val="0091745B"/>
    <w:rsid w:val="00922AA5"/>
    <w:rsid w:val="00923CA1"/>
    <w:rsid w:val="009330C1"/>
    <w:rsid w:val="009338D6"/>
    <w:rsid w:val="00942EB7"/>
    <w:rsid w:val="0094663B"/>
    <w:rsid w:val="0095279F"/>
    <w:rsid w:val="00963013"/>
    <w:rsid w:val="00971857"/>
    <w:rsid w:val="00973B6C"/>
    <w:rsid w:val="009838A7"/>
    <w:rsid w:val="00984A9E"/>
    <w:rsid w:val="00984F7F"/>
    <w:rsid w:val="00987393"/>
    <w:rsid w:val="009A0780"/>
    <w:rsid w:val="009A26DA"/>
    <w:rsid w:val="009B29CB"/>
    <w:rsid w:val="009E5B89"/>
    <w:rsid w:val="009F50F9"/>
    <w:rsid w:val="00A1401F"/>
    <w:rsid w:val="00A24DD6"/>
    <w:rsid w:val="00A52ED3"/>
    <w:rsid w:val="00A53AE0"/>
    <w:rsid w:val="00A5561F"/>
    <w:rsid w:val="00A65EAB"/>
    <w:rsid w:val="00A97BC3"/>
    <w:rsid w:val="00AA1BC4"/>
    <w:rsid w:val="00AA467F"/>
    <w:rsid w:val="00AA47DA"/>
    <w:rsid w:val="00AC4F25"/>
    <w:rsid w:val="00AF4C28"/>
    <w:rsid w:val="00B00DB1"/>
    <w:rsid w:val="00B10C9B"/>
    <w:rsid w:val="00B307E6"/>
    <w:rsid w:val="00B37902"/>
    <w:rsid w:val="00B40613"/>
    <w:rsid w:val="00B4451A"/>
    <w:rsid w:val="00B47048"/>
    <w:rsid w:val="00B5092D"/>
    <w:rsid w:val="00B57C63"/>
    <w:rsid w:val="00B76FAC"/>
    <w:rsid w:val="00B81558"/>
    <w:rsid w:val="00B837C6"/>
    <w:rsid w:val="00B85E36"/>
    <w:rsid w:val="00B94255"/>
    <w:rsid w:val="00BB16EF"/>
    <w:rsid w:val="00BB4CED"/>
    <w:rsid w:val="00BB6FA7"/>
    <w:rsid w:val="00BD2E57"/>
    <w:rsid w:val="00BD32CD"/>
    <w:rsid w:val="00BD5E05"/>
    <w:rsid w:val="00BD7037"/>
    <w:rsid w:val="00BE11D8"/>
    <w:rsid w:val="00C06F2C"/>
    <w:rsid w:val="00C15664"/>
    <w:rsid w:val="00C444EB"/>
    <w:rsid w:val="00C51187"/>
    <w:rsid w:val="00CB355A"/>
    <w:rsid w:val="00CF6049"/>
    <w:rsid w:val="00D11040"/>
    <w:rsid w:val="00D313E0"/>
    <w:rsid w:val="00D36FFA"/>
    <w:rsid w:val="00D46E44"/>
    <w:rsid w:val="00D61F47"/>
    <w:rsid w:val="00D83C9A"/>
    <w:rsid w:val="00D8567A"/>
    <w:rsid w:val="00D93DB3"/>
    <w:rsid w:val="00DA3DDE"/>
    <w:rsid w:val="00DB43EF"/>
    <w:rsid w:val="00DB5206"/>
    <w:rsid w:val="00DD6B4C"/>
    <w:rsid w:val="00E00B17"/>
    <w:rsid w:val="00E00C5E"/>
    <w:rsid w:val="00E355BA"/>
    <w:rsid w:val="00E41A35"/>
    <w:rsid w:val="00E42097"/>
    <w:rsid w:val="00E53706"/>
    <w:rsid w:val="00E74E5B"/>
    <w:rsid w:val="00E96B0F"/>
    <w:rsid w:val="00EB20E7"/>
    <w:rsid w:val="00EB5004"/>
    <w:rsid w:val="00EC2D35"/>
    <w:rsid w:val="00ED5E69"/>
    <w:rsid w:val="00F23341"/>
    <w:rsid w:val="00F33EDB"/>
    <w:rsid w:val="00F45514"/>
    <w:rsid w:val="00F53AF3"/>
    <w:rsid w:val="00F566B6"/>
    <w:rsid w:val="00F579FA"/>
    <w:rsid w:val="00F86F4A"/>
    <w:rsid w:val="00F87206"/>
    <w:rsid w:val="00F94730"/>
    <w:rsid w:val="00F94DB9"/>
    <w:rsid w:val="00FE5278"/>
    <w:rsid w:val="00FF3D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C81E"/>
  <w15:docId w15:val="{1AC63F4C-9B00-4CF3-88A0-22B96CD3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42EB7"/>
    <w:rPr>
      <w:rFonts w:ascii="Times New Roman" w:hAnsi="Times New Roman" w:cs="Times New Roman"/>
      <w:sz w:val="24"/>
      <w:szCs w:val="24"/>
    </w:rPr>
  </w:style>
  <w:style w:type="paragraph" w:styleId="a4">
    <w:name w:val="List Paragraph"/>
    <w:basedOn w:val="a"/>
    <w:uiPriority w:val="34"/>
    <w:qFormat/>
    <w:rsid w:val="006C678B"/>
    <w:pPr>
      <w:ind w:left="720"/>
      <w:contextualSpacing/>
    </w:pPr>
  </w:style>
  <w:style w:type="character" w:styleId="Hyperlink">
    <w:name w:val="Hyperlink"/>
    <w:basedOn w:val="a0"/>
    <w:uiPriority w:val="99"/>
    <w:unhideWhenUsed/>
    <w:rsid w:val="00987393"/>
    <w:rPr>
      <w:color w:val="0563C1" w:themeColor="hyperlink"/>
      <w:u w:val="single"/>
    </w:rPr>
  </w:style>
  <w:style w:type="character" w:styleId="a5">
    <w:name w:val="Unresolved Mention"/>
    <w:basedOn w:val="a0"/>
    <w:uiPriority w:val="99"/>
    <w:semiHidden/>
    <w:unhideWhenUsed/>
    <w:rsid w:val="0098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889074463">
      <w:bodyDiv w:val="1"/>
      <w:marLeft w:val="0"/>
      <w:marRight w:val="0"/>
      <w:marTop w:val="0"/>
      <w:marBottom w:val="0"/>
      <w:divBdr>
        <w:top w:val="none" w:sz="0" w:space="0" w:color="auto"/>
        <w:left w:val="none" w:sz="0" w:space="0" w:color="auto"/>
        <w:bottom w:val="none" w:sz="0" w:space="0" w:color="auto"/>
        <w:right w:val="none" w:sz="0" w:space="0" w:color="auto"/>
      </w:divBdr>
    </w:div>
    <w:div w:id="999888340">
      <w:bodyDiv w:val="1"/>
      <w:marLeft w:val="0"/>
      <w:marRight w:val="0"/>
      <w:marTop w:val="0"/>
      <w:marBottom w:val="0"/>
      <w:divBdr>
        <w:top w:val="none" w:sz="0" w:space="0" w:color="auto"/>
        <w:left w:val="none" w:sz="0" w:space="0" w:color="auto"/>
        <w:bottom w:val="none" w:sz="0" w:space="0" w:color="auto"/>
        <w:right w:val="none" w:sz="0" w:space="0" w:color="auto"/>
      </w:divBdr>
    </w:div>
    <w:div w:id="1141385201">
      <w:bodyDiv w:val="1"/>
      <w:marLeft w:val="0"/>
      <w:marRight w:val="0"/>
      <w:marTop w:val="0"/>
      <w:marBottom w:val="0"/>
      <w:divBdr>
        <w:top w:val="none" w:sz="0" w:space="0" w:color="auto"/>
        <w:left w:val="none" w:sz="0" w:space="0" w:color="auto"/>
        <w:bottom w:val="none" w:sz="0" w:space="0" w:color="auto"/>
        <w:right w:val="none" w:sz="0" w:space="0" w:color="auto"/>
      </w:divBdr>
    </w:div>
    <w:div w:id="1573656528">
      <w:bodyDiv w:val="1"/>
      <w:marLeft w:val="0"/>
      <w:marRight w:val="0"/>
      <w:marTop w:val="0"/>
      <w:marBottom w:val="0"/>
      <w:divBdr>
        <w:top w:val="none" w:sz="0" w:space="0" w:color="auto"/>
        <w:left w:val="none" w:sz="0" w:space="0" w:color="auto"/>
        <w:bottom w:val="none" w:sz="0" w:space="0" w:color="auto"/>
        <w:right w:val="none" w:sz="0" w:space="0" w:color="auto"/>
      </w:divBdr>
    </w:div>
    <w:div w:id="1659311482">
      <w:bodyDiv w:val="1"/>
      <w:marLeft w:val="0"/>
      <w:marRight w:val="0"/>
      <w:marTop w:val="0"/>
      <w:marBottom w:val="0"/>
      <w:divBdr>
        <w:top w:val="none" w:sz="0" w:space="0" w:color="auto"/>
        <w:left w:val="none" w:sz="0" w:space="0" w:color="auto"/>
        <w:bottom w:val="none" w:sz="0" w:space="0" w:color="auto"/>
        <w:right w:val="none" w:sz="0" w:space="0" w:color="auto"/>
      </w:divBdr>
    </w:div>
    <w:div w:id="212738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0816-022-095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s41598-019-47515-8" TargetMode="External"/><Relationship Id="rId5" Type="http://schemas.openxmlformats.org/officeDocument/2006/relationships/hyperlink" Target="mailto:trosenb3@ucc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20816</TotalTime>
  <Pages>6</Pages>
  <Words>2239</Words>
  <Characters>11195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Yefet</dc:creator>
  <cp:keywords/>
  <dc:description/>
  <cp:lastModifiedBy>Neta Yefet</cp:lastModifiedBy>
  <cp:revision>2</cp:revision>
  <dcterms:created xsi:type="dcterms:W3CDTF">2023-05-25T15:10:00Z</dcterms:created>
  <dcterms:modified xsi:type="dcterms:W3CDTF">2023-11-28T04:51:00Z</dcterms:modified>
</cp:coreProperties>
</file>